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bookmarkStart w:id="0" w:name="EB3ace3d43b98b41779337deb808be6fa3"/>
      <w:r>
        <w:rPr>
          <w:rFonts w:hint="eastAsia" w:ascii="宋体" w:hAnsi="宋体" w:eastAsia="宋体" w:cs="宋体"/>
          <w:color w:val="000000"/>
          <w:sz w:val="20"/>
          <w:highlight w:val="none"/>
        </w:rPr>
        <w:t xml:space="preserve"> </w:t>
      </w:r>
      <w:bookmarkEnd w:id="0"/>
      <w:r/>
      <w:bookmarkStart w:id="1" w:name="EB57dd2a69e2b54b0cb3f5c2f03a1ab7bf"/>
      <w:r>
        <w:rPr>
          <w:rFonts w:hint="eastAsia" w:ascii="宋体" w:hAnsi="宋体" w:eastAsia="宋体" w:cs="宋体"/>
          <w:color w:val="000000"/>
          <w:sz w:val="20"/>
          <w:highlight w:val="none"/>
        </w:rPr>
        <w:t xml:space="preserve"> </w:t>
      </w:r>
      <w:bookmarkEnd w:id="1"/>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before="120" w:after="120" w:line="360" w:lineRule="auto"/>
        <w:rPr>
          <w:rFonts w:hint="eastAsia" w:ascii="宋体" w:hAnsi="宋体" w:eastAsia="宋体" w:cs="宋体"/>
          <w:b/>
          <w:color w:val="000000"/>
          <w:sz w:val="84"/>
          <w:szCs w:val="24"/>
          <w:highlight w:val="none"/>
          <w:lang w:bidi="ar"/>
        </w:rPr>
      </w:pPr>
      <w:r>
        <w:rPr>
          <w:rFonts w:hint="eastAsia" w:ascii="宋体" w:hAnsi="宋体" w:eastAsia="宋体" w:cs="宋体"/>
          <w:b/>
          <w:color w:val="000000"/>
          <w:sz w:val="84"/>
          <w:szCs w:val="24"/>
          <w:highlight w:val="none"/>
          <w:lang w:bidi="ar"/>
        </w:rPr>
        <w:t xml:space="preserve">招　标　文　件</w:t>
      </w:r>
      <w:r/>
    </w:p>
    <w:p>
      <w:pPr>
        <w:rPr>
          <w:rFonts w:hint="eastAsia" w:ascii="宋体" w:hAnsi="宋体" w:eastAsia="宋体" w:cs="宋体"/>
          <w:b/>
          <w:color w:val="000000"/>
          <w:sz w:val="30"/>
          <w:szCs w:val="30"/>
          <w:highlight w:val="none"/>
          <w:lang w:bidi="ar"/>
        </w:rPr>
      </w:pPr>
      <w:r>
        <w:rPr>
          <w:rFonts w:hint="eastAsia" w:ascii="宋体" w:hAnsi="宋体" w:eastAsia="宋体" w:cs="宋体"/>
          <w:b/>
          <w:color w:val="000000"/>
          <w:sz w:val="30"/>
          <w:szCs w:val="30"/>
          <w:highlight w:val="none"/>
          <w:lang w:bidi="ar"/>
        </w:rPr>
      </w:r>
      <w:r/>
    </w:p>
    <w:p>
      <w:pPr>
        <w:rPr>
          <w:rFonts w:hint="eastAsia" w:ascii="宋体" w:hAnsi="宋体" w:eastAsia="宋体" w:cs="宋体"/>
          <w:b/>
          <w:color w:val="000000"/>
          <w:sz w:val="30"/>
          <w:szCs w:val="30"/>
          <w:highlight w:val="none"/>
          <w:lang w:bidi="ar"/>
        </w:rPr>
      </w:pPr>
      <w:r>
        <w:rPr>
          <w:rFonts w:hint="eastAsia" w:ascii="宋体" w:hAnsi="宋体" w:eastAsia="宋体" w:cs="宋体"/>
          <w:b/>
          <w:color w:val="000000"/>
          <w:sz w:val="30"/>
          <w:szCs w:val="30"/>
          <w:highlight w:val="none"/>
          <w:lang w:bidi="ar"/>
        </w:rPr>
      </w:r>
      <w:r/>
    </w:p>
    <w:p>
      <w:pPr>
        <w:jc w:val="center"/>
        <w:rPr>
          <w:rFonts w:hint="eastAsia" w:ascii="宋体" w:hAnsi="宋体" w:eastAsia="宋体" w:cs="宋体"/>
          <w:sz w:val="30"/>
          <w:szCs w:val="30"/>
          <w:highlight w:val="none"/>
          <w:lang w:eastAsia="zh-CN"/>
        </w:rPr>
      </w:pPr>
      <w:r>
        <w:rPr>
          <w:rFonts w:hint="eastAsia" w:ascii="宋体" w:hAnsi="宋体" w:eastAsia="宋体" w:cs="宋体"/>
          <w:b/>
          <w:color w:val="000000"/>
          <w:sz w:val="30"/>
          <w:szCs w:val="30"/>
          <w:highlight w:val="none"/>
          <w:lang w:bidi="ar"/>
        </w:rPr>
        <w:t xml:space="preserve">项目名</w:t>
      </w:r>
      <w:r>
        <w:rPr>
          <w:rFonts w:hint="eastAsia" w:ascii="宋体" w:hAnsi="宋体" w:eastAsia="宋体" w:cs="宋体"/>
          <w:b/>
          <w:bCs w:val="0"/>
          <w:color w:val="000000"/>
          <w:sz w:val="30"/>
          <w:szCs w:val="30"/>
          <w:highlight w:val="none"/>
          <w:lang w:bidi="ar"/>
        </w:rPr>
        <w:t xml:space="preserve">称：</w:t>
      </w:r>
      <w:r>
        <w:rPr>
          <w:rFonts w:hint="eastAsia" w:ascii="宋体" w:hAnsi="宋体" w:cs="宋体"/>
          <w:b/>
          <w:bCs w:val="0"/>
          <w:sz w:val="30"/>
          <w:szCs w:val="30"/>
          <w:highlight w:val="none"/>
          <w:lang w:eastAsia="zh-CN"/>
        </w:rPr>
        <w:t xml:space="preserve">泗洪县初中学段教育调研定制纸品采购项目</w:t>
      </w:r>
      <w:r/>
    </w:p>
    <w:p>
      <w:pPr>
        <w:ind w:firstLine="150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lang w:bidi="ar"/>
        </w:rPr>
        <w:t xml:space="preserve"> </w:t>
      </w:r>
      <w:r/>
    </w:p>
    <w:p>
      <w:pPr>
        <w:ind w:firstLine="904"/>
        <w:rPr>
          <w:rFonts w:hint="eastAsia" w:ascii="宋体" w:hAnsi="宋体" w:eastAsia="宋体" w:cs="宋体"/>
          <w:b/>
          <w:color w:val="000000"/>
          <w:sz w:val="30"/>
          <w:szCs w:val="30"/>
          <w:highlight w:val="none"/>
          <w:lang w:eastAsia="zh-CN" w:bidi="ar"/>
        </w:rPr>
      </w:pPr>
      <w:r>
        <w:rPr>
          <w:rFonts w:hint="eastAsia" w:ascii="宋体" w:hAnsi="宋体" w:eastAsia="宋体" w:cs="宋体"/>
          <w:b/>
          <w:color w:val="000000"/>
          <w:sz w:val="30"/>
          <w:szCs w:val="30"/>
          <w:highlight w:val="none"/>
          <w:lang w:bidi="ar"/>
        </w:rPr>
        <w:t xml:space="preserve">项目编号：JSZC-321324-DTZB-G2026-0004</w:t>
      </w:r>
      <w:r>
        <w:rPr>
          <w:rFonts w:hint="eastAsia" w:ascii="宋体" w:hAnsi="宋体" w:cs="宋体"/>
          <w:b/>
          <w:color w:val="000000"/>
          <w:sz w:val="30"/>
          <w:szCs w:val="30"/>
          <w:highlight w:val="none"/>
          <w:lang w:val="en-US" w:eastAsia="zh-CN" w:bidi="ar"/>
        </w:rPr>
        <w:t xml:space="preserve"> </w:t>
      </w:r>
      <w:r/>
    </w:p>
    <w:p>
      <w:pPr>
        <w:pStyle w:val="868"/>
        <w:rPr>
          <w:rFonts w:hint="eastAsia"/>
          <w:highlight w:val="none"/>
        </w:rPr>
      </w:pPr>
      <w:r>
        <w:rPr>
          <w:rFonts w:hint="eastAsia"/>
          <w:highlight w:val="none"/>
        </w:rPr>
      </w:r>
      <w:r/>
    </w:p>
    <w:p>
      <w:pPr>
        <w:ind w:left="2800" w:hanging="2800"/>
        <w:jc w:val="center"/>
        <w:rPr>
          <w:rFonts w:hint="eastAsia" w:ascii="宋体" w:hAnsi="宋体" w:eastAsia="宋体" w:cs="宋体"/>
          <w:b/>
          <w:color w:val="000000"/>
          <w:sz w:val="28"/>
          <w:szCs w:val="28"/>
          <w:highlight w:val="none"/>
        </w:rPr>
      </w:pPr>
      <w:r>
        <w:rPr>
          <w:rFonts w:hint="eastAsia" w:ascii="宋体" w:hAnsi="宋体" w:eastAsia="宋体" w:cs="宋体"/>
          <w:b/>
          <w:color w:val="auto"/>
          <w:sz w:val="30"/>
          <w:szCs w:val="30"/>
          <w:highlight w:val="none"/>
        </w:rPr>
        <w:t xml:space="preserve">（</w:t>
      </w:r>
      <w:r>
        <w:rPr>
          <w:rFonts w:hint="eastAsia" w:ascii="宋体" w:hAnsi="宋体" w:eastAsia="宋体" w:cs="宋体"/>
          <w:b/>
          <w:color w:val="auto"/>
          <w:sz w:val="30"/>
          <w:szCs w:val="30"/>
          <w:highlight w:val="none"/>
          <w:u w:val="single"/>
        </w:rPr>
        <w:t xml:space="preserve">货物</w:t>
      </w:r>
      <w:r>
        <w:rPr>
          <w:rFonts w:hint="eastAsia" w:ascii="宋体" w:hAnsi="宋体" w:eastAsia="宋体" w:cs="宋体"/>
          <w:b/>
          <w:color w:val="auto"/>
          <w:sz w:val="30"/>
          <w:szCs w:val="30"/>
          <w:highlight w:val="none"/>
        </w:rPr>
        <w:t xml:space="preserve">类项目，本项目专门面向中小企业采购）</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839"/>
        <w:tblpPr w:horzAnchor="page" w:tblpX="2452" w:vertAnchor="text" w:tblpY="244"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b/>
                <w:bCs/>
                <w:color w:val="000000"/>
                <w:spacing w:val="45"/>
                <w:sz w:val="32"/>
                <w:szCs w:val="24"/>
                <w:highlight w:val="none"/>
              </w:rPr>
              <w:t xml:space="preserve">采  购 人</w:t>
            </w:r>
            <w:r>
              <w:rPr>
                <w:rFonts w:hint="eastAsia" w:ascii="宋体" w:hAnsi="宋体" w:eastAsia="宋体" w:cs="宋体"/>
                <w:b/>
                <w:bCs/>
                <w:color w:val="000000"/>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color w:val="000000"/>
                <w:sz w:val="24"/>
                <w:szCs w:val="24"/>
                <w:highlight w:val="none"/>
                <w:lang w:eastAsia="zh-CN"/>
              </w:rPr>
            </w:pPr>
            <w:r>
              <w:rPr>
                <w:rFonts w:hint="eastAsia" w:ascii="宋体" w:hAnsi="宋体" w:cs="宋体"/>
                <w:b/>
                <w:bCs w:val="0"/>
                <w:sz w:val="30"/>
                <w:szCs w:val="30"/>
                <w:highlight w:val="none"/>
                <w:lang w:eastAsia="zh-CN"/>
              </w:rPr>
              <w:t xml:space="preserve">泗洪县教育局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江苏东田招标管理有限公司</w:t>
            </w:r>
            <w:r/>
          </w:p>
        </w:tc>
      </w:tr>
    </w:tbl>
    <w:p>
      <w:pPr>
        <w:jc w:val="left"/>
        <w:spacing w:line="500" w:lineRule="exact"/>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jc w:val="left"/>
        <w:spacing w:line="500" w:lineRule="exact"/>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 </w:t>
      </w:r>
      <w:r/>
    </w:p>
    <w:p>
      <w:pPr>
        <w:jc w:val="center"/>
        <w:spacing w:before="120" w:after="120" w:line="360" w:lineRule="auto"/>
        <w:rPr>
          <w:rFonts w:hint="eastAsia" w:ascii="宋体" w:hAnsi="宋体" w:eastAsia="宋体" w:cs="宋体"/>
          <w:b/>
          <w:bCs/>
          <w:color w:val="000000"/>
          <w:sz w:val="32"/>
          <w:szCs w:val="24"/>
          <w:highlight w:val="none"/>
        </w:rPr>
      </w:pPr>
      <w:r>
        <w:rPr>
          <w:rFonts w:hint="eastAsia" w:ascii="宋体" w:hAnsi="宋体" w:cs="宋体"/>
          <w:b/>
          <w:color w:val="000000"/>
          <w:sz w:val="32"/>
          <w:szCs w:val="24"/>
          <w:highlight w:val="none"/>
          <w:lang w:val="en-US" w:eastAsia="zh-CN" w:bidi="ar"/>
        </w:rPr>
        <w:t xml:space="preserve"> </w:t>
      </w:r>
      <w:r>
        <w:rPr>
          <w:rFonts w:hint="eastAsia" w:ascii="宋体" w:hAnsi="宋体" w:eastAsia="宋体" w:cs="宋体"/>
          <w:b/>
          <w:bCs/>
          <w:color w:val="000000"/>
          <w:sz w:val="32"/>
          <w:szCs w:val="24"/>
          <w:highlight w:val="none"/>
        </w:rPr>
        <w:t xml:space="preserve">202</w:t>
      </w:r>
      <w:r>
        <w:rPr>
          <w:rFonts w:hint="eastAsia" w:ascii="宋体" w:hAnsi="宋体" w:cs="宋体"/>
          <w:b/>
          <w:bCs/>
          <w:color w:val="000000"/>
          <w:sz w:val="32"/>
          <w:szCs w:val="24"/>
          <w:highlight w:val="none"/>
          <w:lang w:val="en-US" w:eastAsia="zh-CN"/>
        </w:rPr>
        <w:t xml:space="preserve">6</w:t>
      </w:r>
      <w:r>
        <w:rPr>
          <w:rFonts w:hint="eastAsia" w:ascii="宋体" w:hAnsi="宋体" w:eastAsia="宋体" w:cs="宋体"/>
          <w:b/>
          <w:bCs/>
          <w:color w:val="000000"/>
          <w:sz w:val="32"/>
          <w:szCs w:val="24"/>
          <w:highlight w:val="none"/>
        </w:rPr>
        <w:t xml:space="preserve">年</w:t>
      </w:r>
      <w:r>
        <w:rPr>
          <w:rFonts w:hint="eastAsia" w:ascii="宋体" w:hAnsi="宋体" w:cs="宋体"/>
          <w:b/>
          <w:bCs/>
          <w:color w:val="000000"/>
          <w:sz w:val="32"/>
          <w:szCs w:val="24"/>
          <w:highlight w:val="none"/>
          <w:lang w:val="en-US" w:eastAsia="zh-CN"/>
        </w:rPr>
        <w:t xml:space="preserve">4</w:t>
      </w:r>
      <w:r>
        <w:rPr>
          <w:rFonts w:hint="eastAsia" w:ascii="宋体" w:hAnsi="宋体" w:eastAsia="宋体" w:cs="宋体"/>
          <w:b/>
          <w:bCs/>
          <w:color w:val="000000"/>
          <w:sz w:val="32"/>
          <w:szCs w:val="24"/>
          <w:highlight w:val="none"/>
        </w:rPr>
        <w:t xml:space="preserve">月</w:t>
      </w:r>
      <w:r>
        <w:rPr>
          <w:rFonts w:hint="eastAsia" w:ascii="宋体" w:hAnsi="宋体" w:cs="宋体"/>
          <w:b/>
          <w:bCs/>
          <w:color w:val="000000"/>
          <w:sz w:val="32"/>
          <w:szCs w:val="24"/>
          <w:highlight w:val="none"/>
          <w:lang w:val="en-US" w:eastAsia="zh-CN"/>
        </w:rPr>
        <w:t xml:space="preserve">28</w:t>
      </w:r>
      <w:r>
        <w:rPr>
          <w:rFonts w:hint="eastAsia" w:ascii="宋体" w:hAnsi="宋体" w:eastAsia="宋体" w:cs="宋体"/>
          <w:b/>
          <w:bCs/>
          <w:color w:val="000000"/>
          <w:sz w:val="32"/>
          <w:szCs w:val="24"/>
          <w:highlight w:val="none"/>
        </w:rPr>
        <w:t xml:space="preserve">日</w:t>
      </w:r>
      <w:r/>
    </w:p>
    <w:p>
      <w:pPr>
        <w:jc w:val="center"/>
        <w:spacing w:before="120" w:after="120" w:line="360" w:lineRule="auto"/>
        <w:rPr>
          <w:rFonts w:hint="eastAsia" w:ascii="宋体" w:hAnsi="宋体" w:eastAsia="宋体" w:cs="宋体"/>
          <w:b/>
          <w:color w:val="000000"/>
          <w:sz w:val="32"/>
          <w:szCs w:val="24"/>
          <w:highlight w:val="none"/>
        </w:rPr>
      </w:pPr>
      <w:r>
        <w:rPr>
          <w:rFonts w:hint="eastAsia" w:ascii="宋体" w:hAnsi="宋体" w:eastAsia="宋体" w:cs="宋体"/>
          <w:b/>
          <w:color w:val="000000"/>
          <w:sz w:val="32"/>
          <w:szCs w:val="24"/>
          <w:highlight w:val="none"/>
        </w:rPr>
      </w:r>
      <w:r/>
    </w:p>
    <w:p>
      <w:pPr>
        <w:jc w:val="center"/>
        <w:keepLines/>
        <w:keepNext/>
        <w:pageBreakBefore/>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目 录</w:t>
      </w:r>
      <w:r/>
    </w:p>
    <w:p>
      <w:pPr>
        <w:pStyle w:val="934"/>
        <w:spacing w:line="600" w:lineRule="exact"/>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_Toc10813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第一章  投标邀请</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_Toc10813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3</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p>
    <w:p>
      <w:pPr>
        <w:pStyle w:val="934"/>
        <w:spacing w:line="600" w:lineRule="exact"/>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_Toc9425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第二章  投标人须知</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_Toc9425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5</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p>
    <w:p>
      <w:pPr>
        <w:pStyle w:val="934"/>
        <w:spacing w:line="600" w:lineRule="exact"/>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_Toc17996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第三章  资格审查及评标办法</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_Toc17996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20</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p>
    <w:p>
      <w:pPr>
        <w:pStyle w:val="934"/>
        <w:spacing w:line="600" w:lineRule="exact"/>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_Toc22314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第四章  采购需求</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_Toc22314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24</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p>
    <w:p>
      <w:pPr>
        <w:pStyle w:val="934"/>
        <w:spacing w:line="600" w:lineRule="exact"/>
        <w:tabs>
          <w:tab w:val="right" w:pos="9185" w:leader="dot"/>
        </w:tabs>
        <w:rPr>
          <w:rFonts w:hint="eastAsia" w:ascii="宋体" w:hAnsi="宋体" w:eastAsia="宋体" w:cs="宋体"/>
          <w:b w:val="0"/>
          <w:bCs w:val="0"/>
          <w:color w:val="000000"/>
          <w:sz w:val="32"/>
          <w:highlight w:val="none"/>
          <w:lang w:val="en-US" w:eastAsia="zh-CN"/>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_Toc2513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第五章  合同文本</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lang w:val="en-US" w:eastAsia="zh-CN"/>
        </w:rPr>
        <w:t xml:space="preserve">4</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lang w:val="en-US" w:eastAsia="zh-CN"/>
        </w:rPr>
        <w:t xml:space="preserve">5</w:t>
      </w:r>
      <w:r/>
    </w:p>
    <w:p>
      <w:pPr>
        <w:pStyle w:val="934"/>
        <w:spacing w:line="600" w:lineRule="exact"/>
        <w:tabs>
          <w:tab w:val="right" w:pos="9185" w:leader="dot"/>
        </w:tabs>
        <w:rPr>
          <w:rFonts w:hint="eastAsia" w:ascii="宋体" w:hAnsi="宋体" w:eastAsia="宋体" w:cs="宋体"/>
          <w:color w:val="000000"/>
          <w:highlight w:val="none"/>
          <w:lang w:val="en-US" w:eastAsia="zh-CN"/>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_Toc12937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第六章  投标文件格式</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lang w:val="en-US" w:eastAsia="zh-CN"/>
        </w:rPr>
        <w:t xml:space="preserve">6</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lang w:val="en-US" w:eastAsia="zh-CN"/>
        </w:rPr>
        <w:t xml:space="preserve">8</w:t>
      </w:r>
      <w:r/>
    </w:p>
    <w:p>
      <w:pPr>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p>
    <w:p>
      <w:pPr>
        <w:jc w:val="center"/>
        <w:keepLines/>
        <w:keepNext/>
        <w:pageBreakBefore/>
        <w:rPr>
          <w:rFonts w:hint="eastAsia" w:ascii="宋体" w:hAnsi="宋体" w:eastAsia="宋体" w:cs="宋体"/>
          <w:b/>
          <w:color w:val="000000"/>
          <w:sz w:val="44"/>
          <w:szCs w:val="44"/>
          <w:highlight w:val="none"/>
        </w:rPr>
        <w:sectPr>
          <w:headerReference w:type="default" r:id="rId9"/>
          <w:footerReference w:type="default" r:id="rId11"/>
          <w:footerReference w:type="first" r:id="rId12"/>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73"/>
        <w:jc w:val="center"/>
        <w:spacing w:before="200"/>
        <w:rPr>
          <w:rFonts w:hint="eastAsia" w:ascii="宋体" w:hAnsi="宋体" w:eastAsia="宋体" w:cs="宋体"/>
          <w:color w:val="000000"/>
          <w:sz w:val="44"/>
          <w:highlight w:val="none"/>
        </w:rPr>
      </w:pPr>
      <w:r/>
      <w:bookmarkStart w:id="4" w:name="_Toc30943"/>
      <w:r/>
      <w:bookmarkStart w:id="5" w:name="_Toc10813"/>
      <w:r/>
      <w:bookmarkStart w:id="6" w:name="_Toc25722"/>
      <w:r>
        <w:rPr>
          <w:rFonts w:hint="eastAsia" w:ascii="宋体" w:hAnsi="宋体" w:eastAsia="宋体" w:cs="宋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spacing w:line="48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lang w:eastAsia="zh-CN"/>
        </w:rPr>
        <w:t xml:space="preserve">泗洪县初中学段教育调研定制纸品采购项目</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项目编号：JSZC-321324-DTZB-G2026-0004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single"/>
        </w:rPr>
        <w:t xml:space="preserve">“宿迁市政府采购网”</w:t>
      </w:r>
      <w:r>
        <w:rPr>
          <w:rFonts w:hint="eastAsia" w:ascii="宋体" w:hAnsi="宋体" w:eastAsia="宋体" w:cs="宋体"/>
          <w:color w:val="000000"/>
          <w:sz w:val="24"/>
          <w:szCs w:val="24"/>
          <w:highlight w:val="none"/>
          <w:u w:val="none"/>
        </w:rPr>
        <w:t xml:space="preserve">自行免费</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20</w:t>
      </w:r>
      <w:r>
        <w:rPr>
          <w:rFonts w:hint="eastAsia" w:ascii="宋体" w:hAnsi="宋体" w:eastAsia="宋体" w:cs="宋体"/>
          <w:bCs/>
          <w:color w:val="000000"/>
          <w:sz w:val="24"/>
          <w:szCs w:val="24"/>
          <w:highlight w:val="none"/>
          <w:u w:val="single"/>
        </w:rPr>
        <w:t xml:space="preserve">日09点</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u w:val="single"/>
        </w:rPr>
        <w:t xml:space="preserve">0分（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874"/>
        <w:ind w:firstLine="643"/>
        <w:spacing w:before="0" w:after="0" w:line="480" w:lineRule="exact"/>
        <w:rPr>
          <w:rFonts w:hint="eastAsia" w:ascii="宋体" w:hAnsi="宋体" w:eastAsia="宋体" w:cs="宋体"/>
          <w:bCs/>
          <w:color w:val="000000"/>
          <w:szCs w:val="22"/>
          <w:highlight w:val="none"/>
        </w:rPr>
      </w:pPr>
      <w:r/>
      <w:bookmarkStart w:id="7" w:name="_Toc35393790"/>
      <w:r/>
      <w:bookmarkStart w:id="8" w:name="_Toc28359079"/>
      <w:r/>
      <w:bookmarkStart w:id="9" w:name="_Toc2584"/>
      <w:r/>
      <w:bookmarkStart w:id="10" w:name="_Toc38985263"/>
      <w:r/>
      <w:bookmarkStart w:id="11" w:name="_Toc28359002"/>
      <w:r/>
      <w:bookmarkStart w:id="12" w:name="_Toc35393621"/>
      <w:r/>
      <w:bookmarkStart w:id="13" w:name="_Hlk24379207"/>
      <w:r>
        <w:rPr>
          <w:rFonts w:hint="eastAsia" w:ascii="宋体" w:hAnsi="宋体" w:eastAsia="宋体" w:cs="宋体"/>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1.项目编号：JSZC-321324-DTZB-G2026-0004</w:t>
      </w:r>
      <w:r>
        <w:rPr>
          <w:rFonts w:hint="eastAsia" w:ascii="宋体" w:hAnsi="宋体" w:cs="宋体"/>
          <w:color w:val="000000"/>
          <w:sz w:val="24"/>
          <w:szCs w:val="24"/>
          <w:highlight w:val="none"/>
          <w:lang w:val="en-US" w:eastAsia="zh-CN"/>
        </w:rPr>
        <w:t xml:space="preserve">号</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泗洪县初中学段教育调研定制纸品采购项目</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3.预算金额：</w:t>
      </w:r>
      <w:r>
        <w:rPr>
          <w:rFonts w:hint="eastAsia" w:ascii="宋体" w:hAnsi="宋体" w:cs="宋体"/>
          <w:sz w:val="24"/>
          <w:szCs w:val="24"/>
          <w:highlight w:val="none"/>
          <w:lang w:val="en-US" w:eastAsia="zh-CN" w:bidi="ar-SA"/>
        </w:rPr>
        <w:t xml:space="preserve">401.227032</w:t>
      </w:r>
      <w:r>
        <w:rPr>
          <w:rFonts w:hint="eastAsia" w:ascii="宋体" w:hAnsi="宋体" w:cs="宋体"/>
          <w:color w:val="000000"/>
          <w:sz w:val="24"/>
          <w:szCs w:val="24"/>
          <w:highlight w:val="none"/>
          <w:lang w:val="en-US" w:eastAsia="zh-CN"/>
        </w:rPr>
        <w:t xml:space="preserve">万元</w:t>
      </w:r>
      <w:r/>
    </w:p>
    <w:p>
      <w:pPr>
        <w:ind w:firstLine="480"/>
        <w:spacing w:line="48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4.本项目设定最高限价</w:t>
      </w:r>
      <w:bookmarkStart w:id="14" w:name="EB6c1f3d39c6914ae1bada8ccaa777b37a"/>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综合单价</w:t>
      </w:r>
      <w:r>
        <w:rPr>
          <w:rFonts w:hint="eastAsia" w:ascii="宋体" w:hAnsi="宋体" w:eastAsia="宋体" w:cs="宋体"/>
          <w:b/>
          <w:bCs/>
          <w:sz w:val="24"/>
          <w:szCs w:val="24"/>
          <w:highlight w:val="none"/>
          <w:lang w:val="en-US" w:eastAsia="zh-CN" w:bidi="ar-SA"/>
        </w:rPr>
        <w:t xml:space="preserve">137304.94</w:t>
      </w:r>
      <w:r>
        <w:rPr>
          <w:rFonts w:hint="eastAsia" w:ascii="宋体" w:hAnsi="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val="en-US" w:eastAsia="zh-CN"/>
        </w:rPr>
        <w:t xml:space="preserve">（高于此限价作无效标处理)。</w:t>
      </w:r>
      <w:bookmarkEnd w:id="14"/>
      <w:r/>
      <w:r/>
    </w:p>
    <w:p>
      <w:pPr>
        <w:pStyle w:val="126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5.采购需</w:t>
      </w:r>
      <w:r>
        <w:rPr>
          <w:rFonts w:hint="eastAsia" w:ascii="宋体" w:hAnsi="宋体" w:eastAsia="宋体" w:cs="宋体"/>
          <w:color w:val="auto"/>
          <w:sz w:val="24"/>
          <w:szCs w:val="24"/>
          <w:highlight w:val="none"/>
        </w:rPr>
        <w:t xml:space="preserve">求（简介）：</w:t>
      </w:r>
      <w:r>
        <w:rPr>
          <w:rFonts w:hint="eastAsia" w:ascii="宋体" w:hAnsi="宋体" w:eastAsia="宋体" w:cs="宋体"/>
          <w:color w:val="auto"/>
          <w:sz w:val="24"/>
          <w:szCs w:val="24"/>
          <w:highlight w:val="none"/>
          <w:lang w:val="en-US" w:eastAsia="zh-CN"/>
        </w:rPr>
        <w:t xml:space="preserve">泗洪县教育局采购</w:t>
      </w:r>
      <w:r>
        <w:rPr>
          <w:rFonts w:hint="eastAsia" w:ascii="宋体" w:hAnsi="宋体" w:cs="宋体"/>
          <w:color w:val="auto"/>
          <w:sz w:val="24"/>
          <w:szCs w:val="24"/>
          <w:highlight w:val="none"/>
          <w:lang w:val="en-US" w:eastAsia="zh-CN"/>
        </w:rPr>
        <w:t xml:space="preserve">初中</w:t>
      </w:r>
      <w:r>
        <w:rPr>
          <w:rFonts w:hint="eastAsia" w:ascii="宋体" w:hAnsi="宋体" w:eastAsia="宋体" w:cs="宋体"/>
          <w:color w:val="auto"/>
          <w:sz w:val="24"/>
          <w:szCs w:val="24"/>
          <w:highlight w:val="none"/>
          <w:lang w:val="en-US" w:eastAsia="zh-CN"/>
        </w:rPr>
        <w:t xml:space="preserve">学段基础教育调研所需纸品，主要是按要求制作完成并封装到位的各类纸品，详细内容见本招标文件第四章。</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合同履行</w:t>
      </w:r>
      <w:r>
        <w:rPr>
          <w:rFonts w:hint="eastAsia" w:ascii="宋体" w:hAnsi="宋体" w:eastAsia="宋体" w:cs="宋体"/>
          <w:color w:val="auto"/>
          <w:sz w:val="24"/>
          <w:szCs w:val="24"/>
          <w:highlight w:val="none"/>
        </w:rPr>
        <w:t xml:space="preserve">期限：3年</w:t>
      </w:r>
      <w:r>
        <w:rPr>
          <w:rFonts w:hint="eastAsia" w:ascii="宋体" w:hAnsi="宋体" w:cs="宋体"/>
          <w:color w:val="auto"/>
          <w:sz w:val="24"/>
          <w:szCs w:val="24"/>
          <w:highlight w:val="none"/>
          <w:lang w:val="en-US" w:eastAsia="zh-CN"/>
        </w:rPr>
        <w:t xml:space="preserve">内供货完成</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联合体投标。</w:t>
      </w:r>
      <w:r/>
    </w:p>
    <w:p>
      <w:pPr>
        <w:pStyle w:val="874"/>
        <w:ind w:firstLine="643"/>
        <w:spacing w:before="0" w:after="0" w:line="480" w:lineRule="exact"/>
        <w:rPr>
          <w:rFonts w:hint="eastAsia" w:ascii="宋体" w:hAnsi="宋体" w:eastAsia="宋体" w:cs="宋体"/>
          <w:bCs/>
          <w:color w:val="000000"/>
          <w:szCs w:val="22"/>
          <w:highlight w:val="none"/>
        </w:rPr>
      </w:pPr>
      <w:r/>
      <w:bookmarkStart w:id="15" w:name="_Toc35393622"/>
      <w:r/>
      <w:bookmarkStart w:id="16" w:name="_Toc28359080"/>
      <w:r/>
      <w:bookmarkStart w:id="17" w:name="_Toc28359003"/>
      <w:r/>
      <w:bookmarkStart w:id="18" w:name="_Toc38985264"/>
      <w:r/>
      <w:bookmarkStart w:id="19" w:name="_Toc35393791"/>
      <w:r/>
      <w:bookmarkStart w:id="20" w:name="_Toc27291"/>
      <w:r>
        <w:rPr>
          <w:rFonts w:hint="eastAsia" w:ascii="宋体" w:hAnsi="宋体" w:eastAsia="宋体" w:cs="宋体"/>
          <w:bCs/>
          <w:color w:val="000000"/>
          <w:szCs w:val="22"/>
          <w:highlight w:val="none"/>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宋体" w:hAnsi="宋体" w:eastAsia="宋体" w:cs="宋体"/>
          <w:color w:val="000000"/>
          <w:sz w:val="24"/>
          <w:szCs w:val="24"/>
          <w:highlight w:val="none"/>
        </w:rPr>
      </w:pPr>
      <w:r/>
      <w:bookmarkStart w:id="21" w:name="_Toc35393792"/>
      <w:r/>
      <w:bookmarkStart w:id="22" w:name="_Toc38985265"/>
      <w:r/>
      <w:bookmarkStart w:id="23" w:name="_Toc35393623"/>
      <w:r/>
      <w:bookmarkStart w:id="24" w:name="_Toc28359004"/>
      <w:r/>
      <w:bookmarkStart w:id="25" w:name="_Toc28359081"/>
      <w:r>
        <w:rPr>
          <w:rFonts w:hint="eastAsia" w:ascii="宋体" w:hAnsi="宋体" w:eastAsia="宋体" w:cs="宋体"/>
          <w:color w:val="000000"/>
          <w:sz w:val="24"/>
          <w:szCs w:val="24"/>
          <w:highlight w:val="none"/>
        </w:rPr>
        <w:t xml:space="preserve">（一）通用资格要求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投标人代理人(授权委托人)必须为本单位正式员工，并在投标文件中提供投标截止日前6个月内由本单位为其缴纳的任意1个月社会养老保险证明。</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（二）落实政府采购政策需满足的资格要求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专门面向中小企业（含监狱企业、残疾人福利企业）采购，所投产品制造商应为中小企业（含监狱企业、残疾人福利企业）（须提供《中小企业或残疾人福利性单位声明函》）。所投产品制造商为非中小企业（含监狱企业、残疾人福利企业）参与本项目投标，将作无效投标处理。</w:t>
      </w:r>
      <w:r/>
    </w:p>
    <w:p>
      <w:pPr>
        <w:pStyle w:val="1247"/>
        <w:ind w:firstLine="373"/>
        <w:spacing w:before="156" w:after="156"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（三）本项目的特定资格要求：</w:t>
      </w:r>
      <w:r/>
    </w:p>
    <w:p>
      <w:pPr>
        <w:pStyle w:val="1247"/>
        <w:ind w:firstLine="373"/>
        <w:spacing w:before="156" w:after="156"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投标人需具备保密局核发的《国家秘密载体印制资质》证书、《印刷经营许可证》。</w:t>
      </w:r>
      <w:r/>
    </w:p>
    <w:p>
      <w:pPr>
        <w:pStyle w:val="874"/>
        <w:ind w:firstLine="643"/>
        <w:spacing w:before="0" w:after="0" w:line="480" w:lineRule="exact"/>
        <w:rPr>
          <w:rFonts w:hint="eastAsia" w:ascii="宋体" w:hAnsi="宋体" w:eastAsia="宋体" w:cs="宋体"/>
          <w:bCs/>
          <w:color w:val="000000"/>
          <w:szCs w:val="22"/>
          <w:highlight w:val="none"/>
        </w:rPr>
      </w:pPr>
      <w:r/>
      <w:bookmarkStart w:id="26" w:name="_Toc22204"/>
      <w:r>
        <w:rPr>
          <w:rFonts w:hint="eastAsia" w:ascii="宋体" w:hAnsi="宋体" w:eastAsia="宋体" w:cs="宋体"/>
          <w:bCs/>
          <w:color w:val="000000"/>
          <w:szCs w:val="22"/>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hint="eastAsia" w:ascii="宋体" w:hAnsi="宋体" w:eastAsia="宋体" w:cs="宋体"/>
          <w:color w:val="000000"/>
          <w:sz w:val="24"/>
          <w:szCs w:val="24"/>
          <w:highlight w:val="none"/>
        </w:rPr>
      </w:pPr>
      <w:r/>
      <w:bookmarkStart w:id="27" w:name="_Toc28359082"/>
      <w:r/>
      <w:bookmarkStart w:id="28" w:name="_Toc28359005"/>
      <w:r/>
      <w:bookmarkStart w:id="29" w:name="_Toc38985266"/>
      <w:r/>
      <w:bookmarkStart w:id="30" w:name="_Toc35393624"/>
      <w:r/>
      <w:bookmarkStart w:id="31" w:name="_Toc35393793"/>
      <w:r>
        <w:rPr>
          <w:rFonts w:hint="eastAsia" w:ascii="宋体" w:hAnsi="宋体" w:eastAsia="宋体" w:cs="宋体"/>
          <w:color w:val="000000"/>
          <w:sz w:val="24"/>
          <w:szCs w:val="24"/>
          <w:highlight w:val="none"/>
        </w:rPr>
        <w:t xml:space="preserve">1.时间：招标公告发布之日起5个工作日。</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eastAsia="宋体" w:cs="宋体"/>
          <w:color w:val="000000"/>
          <w:sz w:val="24"/>
          <w:szCs w:val="24"/>
          <w:highlight w:val="none"/>
        </w:rPr>
      </w:pPr>
      <w:r/>
      <w:bookmarkStart w:id="32"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个采购包。投标人未按要求获取招标文件，后果自负（其投标文件不予接受）。</w:t>
      </w:r>
      <w:bookmarkEnd w:id="32"/>
      <w:r/>
      <w:r/>
    </w:p>
    <w:p>
      <w:pPr>
        <w:pStyle w:val="874"/>
        <w:ind w:firstLine="321"/>
        <w:spacing w:before="0" w:after="0" w:line="480" w:lineRule="exact"/>
        <w:rPr>
          <w:rFonts w:hint="eastAsia" w:ascii="宋体" w:hAnsi="宋体" w:eastAsia="宋体" w:cs="宋体"/>
          <w:bCs/>
          <w:color w:val="000000"/>
          <w:szCs w:val="22"/>
          <w:highlight w:val="none"/>
        </w:rPr>
      </w:pPr>
      <w:r/>
      <w:bookmarkStart w:id="33" w:name="_Toc19148"/>
      <w:r>
        <w:rPr>
          <w:rFonts w:hint="eastAsia" w:ascii="宋体" w:hAnsi="宋体" w:eastAsia="宋体" w:cs="宋体"/>
          <w:bCs/>
          <w:color w:val="000000"/>
          <w:szCs w:val="22"/>
          <w:highlight w:val="none"/>
        </w:rPr>
        <w:t xml:space="preserve">四、提交投标文件</w:t>
      </w:r>
      <w:bookmarkEnd w:id="27"/>
      <w:r/>
      <w:bookmarkEnd w:id="28"/>
      <w:r>
        <w:rPr>
          <w:rFonts w:hint="eastAsia" w:ascii="宋体" w:hAnsi="宋体" w:eastAsia="宋体" w:cs="宋体"/>
          <w:bCs/>
          <w:color w:val="000000"/>
          <w:szCs w:val="22"/>
          <w:highlight w:val="none"/>
        </w:rPr>
        <w:t xml:space="preserve">截止时间、开标时间和地点</w:t>
      </w:r>
      <w:bookmarkEnd w:id="29"/>
      <w:r/>
      <w:bookmarkEnd w:id="30"/>
      <w:r/>
      <w:bookmarkEnd w:id="31"/>
      <w:r/>
      <w:bookmarkEnd w:id="33"/>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日09点</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0分（北京时间）</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874"/>
        <w:ind w:firstLine="321"/>
        <w:spacing w:before="0" w:after="0" w:line="480" w:lineRule="exact"/>
        <w:rPr>
          <w:rFonts w:hint="eastAsia" w:ascii="宋体" w:hAnsi="宋体" w:eastAsia="宋体" w:cs="宋体"/>
          <w:bCs/>
          <w:color w:val="000000"/>
          <w:szCs w:val="22"/>
          <w:highlight w:val="none"/>
        </w:rPr>
      </w:pPr>
      <w:r/>
      <w:bookmarkStart w:id="34" w:name="_Toc28359084"/>
      <w:r/>
      <w:bookmarkStart w:id="35" w:name="_Toc28359007"/>
      <w:r/>
      <w:bookmarkStart w:id="36" w:name="_Toc38985267"/>
      <w:r/>
      <w:bookmarkStart w:id="37" w:name="_Toc24820"/>
      <w:r/>
      <w:bookmarkStart w:id="38" w:name="_Toc35393794"/>
      <w:r/>
      <w:bookmarkStart w:id="39" w:name="_Toc35393625"/>
      <w:r>
        <w:rPr>
          <w:rFonts w:hint="eastAsia" w:ascii="宋体" w:hAnsi="宋体" w:eastAsia="宋体" w:cs="宋体"/>
          <w:bCs/>
          <w:color w:val="000000"/>
          <w:szCs w:val="22"/>
          <w:highlight w:val="none"/>
        </w:rPr>
        <w:t xml:space="preserve">五、公告期限</w:t>
      </w:r>
      <w:bookmarkEnd w:id="34"/>
      <w:r/>
      <w:bookmarkEnd w:id="35"/>
      <w:r/>
      <w:bookmarkEnd w:id="36"/>
      <w:r/>
      <w:bookmarkEnd w:id="37"/>
      <w:r/>
      <w:bookmarkEnd w:id="38"/>
      <w:r/>
      <w:bookmarkEnd w:id="39"/>
      <w:r/>
      <w:r/>
    </w:p>
    <w:p>
      <w:pPr>
        <w:ind w:firstLine="480"/>
        <w:spacing w:line="480" w:lineRule="exact"/>
        <w:rPr>
          <w:rFonts w:hint="eastAsia" w:ascii="宋体" w:hAnsi="宋体" w:eastAsia="宋体" w:cs="宋体"/>
          <w:color w:val="000000"/>
          <w:sz w:val="24"/>
          <w:szCs w:val="24"/>
          <w:highlight w:val="none"/>
        </w:rPr>
      </w:pPr>
      <w:r/>
      <w:bookmarkStart w:id="40" w:name="_Toc35393626"/>
      <w:r/>
      <w:bookmarkStart w:id="41" w:name="_Toc38985268"/>
      <w:r/>
      <w:bookmarkStart w:id="42" w:name="_Toc35393795"/>
      <w:r>
        <w:rPr>
          <w:rFonts w:hint="eastAsia" w:ascii="宋体" w:hAnsi="宋体" w:eastAsia="宋体" w:cs="宋体"/>
          <w:color w:val="000000"/>
          <w:sz w:val="24"/>
          <w:szCs w:val="24"/>
          <w:highlight w:val="none"/>
        </w:rPr>
        <w:t xml:space="preserve">招标公告及招标文件公告期限为自本公告发布之日起5个工作日。招标公告发布媒体：江苏政府采购网、宿迁市政府采购网等。</w:t>
      </w:r>
      <w:r/>
    </w:p>
    <w:p>
      <w:pPr>
        <w:pStyle w:val="874"/>
        <w:ind w:firstLine="321"/>
        <w:spacing w:before="0" w:after="0" w:line="480" w:lineRule="exact"/>
        <w:rPr>
          <w:rFonts w:hint="eastAsia" w:ascii="宋体" w:hAnsi="宋体" w:eastAsia="宋体" w:cs="宋体"/>
          <w:bCs/>
          <w:color w:val="000000"/>
          <w:szCs w:val="22"/>
          <w:highlight w:val="none"/>
        </w:rPr>
      </w:pPr>
      <w:r/>
      <w:bookmarkStart w:id="43" w:name="_Toc13415"/>
      <w:r>
        <w:rPr>
          <w:rFonts w:hint="eastAsia" w:ascii="宋体" w:hAnsi="宋体" w:eastAsia="宋体" w:cs="宋体"/>
          <w:bCs/>
          <w:color w:val="000000"/>
          <w:szCs w:val="22"/>
          <w:highlight w:val="none"/>
        </w:rPr>
        <w:t xml:space="preserve">六、其他补充事宜</w:t>
      </w:r>
      <w:bookmarkEnd w:id="40"/>
      <w:r/>
      <w:bookmarkEnd w:id="41"/>
      <w:r/>
      <w:bookmarkEnd w:id="42"/>
      <w:r/>
      <w:bookmarkEnd w:id="43"/>
      <w:r/>
      <w:r/>
    </w:p>
    <w:p>
      <w:pPr>
        <w:ind w:firstLine="480"/>
        <w:spacing w:line="480" w:lineRule="exact"/>
        <w:rPr>
          <w:rFonts w:hint="eastAsia" w:ascii="宋体" w:hAnsi="宋体" w:eastAsia="宋体" w:cs="宋体"/>
          <w:color w:val="000000"/>
          <w:sz w:val="24"/>
          <w:szCs w:val="24"/>
          <w:highlight w:val="none"/>
        </w:rPr>
      </w:pPr>
      <w:r/>
      <w:bookmarkStart w:id="44" w:name="EB64e1f522fd8c43fcb4d3ba471386b3e7"/>
      <w:r/>
      <w:bookmarkStart w:id="45" w:name="_Toc28359008"/>
      <w:r/>
      <w:bookmarkStart w:id="46" w:name="_Toc28359085"/>
      <w:r/>
      <w:bookmarkStart w:id="47" w:name="_Toc35393796"/>
      <w:r/>
      <w:bookmarkStart w:id="48" w:name="_Toc35393627"/>
      <w:r/>
      <w:bookmarkStart w:id="49" w:name="_Toc38985269"/>
      <w:r>
        <w:rPr>
          <w:rFonts w:hint="eastAsia" w:ascii="宋体" w:hAnsi="宋体" w:eastAsia="宋体" w:cs="宋体"/>
          <w:color w:val="000000"/>
          <w:sz w:val="24"/>
          <w:szCs w:val="24"/>
          <w:highlight w:val="none"/>
        </w:rPr>
        <w:t xml:space="preserve">1.财政部门监督电话：0527-88359233。</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44"/>
      <w:r/>
      <w:r/>
    </w:p>
    <w:p>
      <w:pPr>
        <w:ind w:firstLine="480"/>
        <w:spacing w:line="480" w:lineRule="exact"/>
        <w:rPr>
          <w:rFonts w:hint="eastAsia" w:ascii="宋体" w:hAnsi="宋体" w:eastAsia="宋体" w:cs="宋体"/>
          <w:color w:val="000000"/>
          <w:spacing w:val="-6"/>
          <w:sz w:val="21"/>
          <w:szCs w:val="21"/>
          <w:highlight w:val="none"/>
          <w:lang w:val="en-US"/>
        </w:rPr>
      </w:pPr>
      <w:r/>
      <w:bookmarkStart w:id="50" w:name="_Toc29049"/>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highlight w:val="none"/>
          <w:lang w:val="en-US"/>
        </w:rPr>
        <w:t xml:space="preserve">如果投标人通过苏采云系统参与政府采购项目，相关操作手册详见链接：</w:t>
      </w:r>
      <w:r>
        <w:rPr>
          <w:rFonts w:hint="eastAsia" w:ascii="宋体" w:hAnsi="宋体" w:eastAsia="宋体" w:cs="宋体"/>
          <w:color w:val="000000"/>
          <w:spacing w:val="-6"/>
          <w:sz w:val="21"/>
          <w:szCs w:val="21"/>
          <w:highlight w:val="none"/>
          <w:lang w:val="en-US"/>
        </w:rPr>
        <w:fldChar w:fldCharType="begin"/>
      </w:r>
      <w:r>
        <w:rPr>
          <w:rFonts w:hint="eastAsia" w:ascii="宋体" w:hAnsi="宋体" w:eastAsia="宋体" w:cs="宋体"/>
          <w:color w:val="000000"/>
          <w:spacing w:val="-6"/>
          <w:sz w:val="21"/>
          <w:szCs w:val="21"/>
          <w:highlight w:val="none"/>
          <w:lang w:val="en-US"/>
        </w:rPr>
        <w:instrText xml:space="preserve"> HYPERLINK "http://www.ccgp-jiangsu.gov.cn/jiangsu/zlxz/ee/ee3a4bc5a3454aa2b0d9312230633ce9.html。" </w:instrText>
      </w:r>
      <w:r>
        <w:rPr>
          <w:rFonts w:hint="eastAsia" w:ascii="宋体" w:hAnsi="宋体" w:eastAsia="宋体" w:cs="宋体"/>
          <w:color w:val="000000"/>
          <w:spacing w:val="-6"/>
          <w:sz w:val="21"/>
          <w:szCs w:val="21"/>
          <w:highlight w:val="none"/>
          <w:lang w:val="en-US"/>
        </w:rPr>
        <w:fldChar w:fldCharType="separate"/>
      </w:r>
      <w:r>
        <w:rPr>
          <w:rStyle w:val="964"/>
          <w:rFonts w:hint="eastAsia" w:ascii="宋体" w:hAnsi="宋体" w:eastAsia="宋体" w:cs="宋体"/>
          <w:color w:val="000000"/>
          <w:spacing w:val="-6"/>
          <w:sz w:val="21"/>
          <w:szCs w:val="21"/>
          <w:highlight w:val="none"/>
          <w:lang w:val="en-US"/>
        </w:rPr>
        <w:t xml:space="preserve">http://www.ccgp-jiangsu.gov.cn/jiangsu/zlxz/ee/ee3a4bc5a3454aa2b0d9312230633ce9.html。</w:t>
      </w:r>
      <w:r>
        <w:rPr>
          <w:rFonts w:hint="eastAsia" w:ascii="宋体" w:hAnsi="宋体" w:eastAsia="宋体" w:cs="宋体"/>
          <w:color w:val="000000"/>
          <w:spacing w:val="-6"/>
          <w:sz w:val="21"/>
          <w:szCs w:val="21"/>
          <w:highlight w:val="none"/>
          <w:lang w:val="en-US"/>
        </w:rPr>
        <w:fldChar w:fldCharType="end"/>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5.现场勘察及答疑：本项目不组织集中勘察及答疑，投标人如对采购需求有疑问，请咨询采购单位联系人。</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sz w:val="24"/>
          <w:szCs w:val="24"/>
          <w:highlight w:val="none"/>
        </w:rPr>
        <w:t xml:space="preserve">6.</w:t>
      </w:r>
      <w:r>
        <w:rPr>
          <w:rFonts w:hint="eastAsia" w:ascii="宋体" w:hAnsi="宋体" w:eastAsia="宋体" w:cs="宋体"/>
          <w:highlight w:val="none"/>
        </w:rPr>
        <w:t xml:space="preserve"> </w:t>
      </w:r>
      <w:r>
        <w:rPr>
          <w:rFonts w:hint="eastAsia" w:ascii="宋体" w:hAnsi="宋体" w:eastAsia="宋体" w:cs="宋体"/>
          <w:sz w:val="24"/>
          <w:szCs w:val="24"/>
          <w:highlight w:val="none"/>
        </w:rPr>
        <w:t xml:space="preserve">单位负责人为同一人或者存在直接控股、管理关系的不同</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，不得参加同一合同项下的政府采购活动。否则，相关投标均无效。</w:t>
      </w:r>
      <w:r/>
    </w:p>
    <w:p>
      <w:pPr>
        <w:pStyle w:val="874"/>
        <w:ind w:firstLine="321"/>
        <w:spacing w:before="0" w:after="0" w:line="480" w:lineRule="exact"/>
        <w:rPr>
          <w:rFonts w:hint="eastAsia" w:ascii="宋体" w:hAnsi="宋体" w:eastAsia="宋体" w:cs="宋体"/>
          <w:bCs/>
          <w:color w:val="000000"/>
          <w:szCs w:val="22"/>
          <w:highlight w:val="none"/>
        </w:rPr>
      </w:pPr>
      <w:r>
        <w:rPr>
          <w:rFonts w:hint="eastAsia" w:ascii="宋体" w:hAnsi="宋体" w:eastAsia="宋体" w:cs="宋体"/>
          <w:bCs/>
          <w:color w:val="000000"/>
          <w:szCs w:val="22"/>
          <w:highlight w:val="none"/>
        </w:rPr>
        <w:t xml:space="preserve">七、本次招标联系方式</w:t>
      </w:r>
      <w:bookmarkEnd w:id="45"/>
      <w:r/>
      <w:bookmarkEnd w:id="46"/>
      <w:r/>
      <w:bookmarkEnd w:id="47"/>
      <w:r/>
      <w:bookmarkEnd w:id="48"/>
      <w:r/>
      <w:bookmarkEnd w:id="49"/>
      <w:r/>
      <w:bookmarkEnd w:id="50"/>
      <w:r/>
      <w:r/>
    </w:p>
    <w:p>
      <w:pPr>
        <w:ind w:firstLine="480"/>
        <w:jc w:val="left"/>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p>
    <w:p>
      <w:pPr>
        <w:ind w:firstLine="480"/>
        <w:jc w:val="left"/>
        <w:spacing w:line="480" w:lineRule="exact"/>
        <w:widowControl/>
        <w:rPr>
          <w:rFonts w:hint="eastAsia" w:ascii="宋体" w:hAnsi="宋体" w:eastAsia="宋体" w:cs="宋体"/>
          <w:sz w:val="24"/>
          <w:szCs w:val="24"/>
          <w:highlight w:val="none"/>
          <w:lang w:eastAsia="zh-CN"/>
        </w:rPr>
      </w:pPr>
      <w:r/>
      <w:bookmarkStart w:id="51" w:name="_Toc28359009"/>
      <w:r/>
      <w:bookmarkStart w:id="52" w:name="_Toc28359086"/>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泗洪县教育局</w:t>
      </w:r>
      <w:r/>
    </w:p>
    <w:p>
      <w:pPr>
        <w:ind w:firstLine="480"/>
        <w:jc w:val="left"/>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eastAsia="zh-CN"/>
        </w:rPr>
        <w:t xml:space="preserve">泗洪县青阳街道洪泽湖东大街37号</w:t>
      </w:r>
      <w:r/>
    </w:p>
    <w:p>
      <w:pPr>
        <w:ind w:firstLine="480"/>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End w:id="51"/>
      <w:r/>
      <w:bookmarkEnd w:id="52"/>
      <w:r>
        <w:rPr>
          <w:rFonts w:hint="eastAsia" w:ascii="宋体" w:hAnsi="宋体" w:eastAsia="宋体" w:cs="宋体"/>
          <w:color w:val="000000"/>
          <w:sz w:val="24"/>
          <w:szCs w:val="24"/>
          <w:highlight w:val="none"/>
        </w:rPr>
        <w:t xml:space="preserve">采购代理机构信息</w:t>
      </w:r>
      <w:r/>
    </w:p>
    <w:p>
      <w:pPr>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bookmarkStart w:id="53" w:name="EB428b58a0efec4a7f97890403ab826602"/>
      <w:r>
        <w:rPr>
          <w:rFonts w:hint="eastAsia" w:ascii="宋体" w:hAnsi="宋体" w:eastAsia="宋体" w:cs="宋体"/>
          <w:sz w:val="24"/>
          <w:szCs w:val="24"/>
          <w:highlight w:val="none"/>
        </w:rPr>
        <w:t xml:space="preserve">江苏东田招标管理有限公司</w:t>
      </w:r>
      <w:bookmarkEnd w:id="53"/>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址：泗洪县嵩山南路2-15号（明发国际大酒店对面）</w:t>
      </w:r>
      <w:r/>
    </w:p>
    <w:p>
      <w:pPr>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联系人：骆</w:t>
      </w:r>
      <w:r>
        <w:rPr>
          <w:rFonts w:hint="eastAsia" w:ascii="宋体" w:hAnsi="宋体" w:cs="宋体"/>
          <w:sz w:val="24"/>
          <w:szCs w:val="24"/>
          <w:highlight w:val="none"/>
          <w:lang w:val="en-US" w:eastAsia="zh-CN"/>
        </w:rPr>
        <w:t xml:space="preserve">工</w:t>
      </w:r>
      <w:r/>
    </w:p>
    <w:p>
      <w:pPr>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bookmarkStart w:id="54" w:name="_Toc28359010"/>
      <w:r/>
      <w:bookmarkStart w:id="55" w:name="_Toc28359087"/>
      <w:r>
        <w:rPr>
          <w:rFonts w:hint="eastAsia" w:ascii="宋体" w:hAnsi="宋体" w:eastAsia="宋体" w:cs="宋体"/>
          <w:sz w:val="24"/>
          <w:szCs w:val="24"/>
          <w:highlight w:val="none"/>
        </w:rPr>
        <w:t xml:space="preserve">17351776366、0527-86</w:t>
      </w:r>
      <w:bookmarkEnd w:id="54"/>
      <w:r/>
      <w:bookmarkEnd w:id="55"/>
      <w:r>
        <w:rPr>
          <w:rFonts w:hint="eastAsia" w:ascii="宋体" w:hAnsi="宋体" w:eastAsia="宋体" w:cs="宋体"/>
          <w:sz w:val="24"/>
          <w:szCs w:val="24"/>
          <w:highlight w:val="none"/>
          <w:lang w:val="en-US" w:eastAsia="zh-CN"/>
        </w:rPr>
        <w:t xml:space="preserve">666118</w:t>
      </w:r>
      <w:r/>
    </w:p>
    <w:p>
      <w:pPr>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胡工</w:t>
      </w:r>
      <w:r/>
    </w:p>
    <w:p>
      <w:pPr>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电话：</w:t>
      </w:r>
      <w:bookmarkStart w:id="56" w:name="_Toc81575190"/>
      <w:r/>
      <w:bookmarkStart w:id="57" w:name="_Toc81575153"/>
      <w:r/>
      <w:bookmarkStart w:id="58" w:name="_Toc15265"/>
      <w:r/>
      <w:bookmarkStart w:id="59" w:name="_Toc11687"/>
      <w:r/>
      <w:bookmarkStart w:id="60" w:name="_Toc9425"/>
      <w:r>
        <w:rPr>
          <w:rFonts w:hint="eastAsia" w:ascii="宋体" w:hAnsi="宋体" w:eastAsia="宋体" w:cs="宋体"/>
          <w:sz w:val="24"/>
          <w:szCs w:val="24"/>
          <w:highlight w:val="none"/>
          <w:lang w:val="en-US" w:eastAsia="zh-CN"/>
        </w:rPr>
        <w:t xml:space="preserve">15370599099</w:t>
      </w:r>
      <w:r/>
    </w:p>
    <w:p>
      <w:pPr>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center"/>
        <w:spacing w:line="480" w:lineRule="exact"/>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480"/>
        <w:jc w:val="center"/>
        <w:spacing w:line="480" w:lineRule="exact"/>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480"/>
        <w:jc w:val="center"/>
        <w:spacing w:line="480" w:lineRule="exact"/>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rPr>
          <w:rFonts w:hint="eastAsia" w:ascii="宋体" w:hAnsi="宋体" w:eastAsia="宋体" w:cs="宋体"/>
          <w:color w:val="000000"/>
          <w:sz w:val="44"/>
          <w:highlight w:val="none"/>
        </w:rPr>
      </w:pPr>
      <w:r>
        <w:rPr>
          <w:rFonts w:hint="eastAsia" w:ascii="宋体" w:hAnsi="宋体" w:eastAsia="宋体" w:cs="宋体"/>
          <w:color w:val="000000"/>
          <w:sz w:val="44"/>
          <w:highlight w:val="none"/>
        </w:rPr>
        <w:br w:type="page" w:clear="all"/>
      </w:r>
      <w:r/>
    </w:p>
    <w:p>
      <w:pPr>
        <w:pStyle w:val="873"/>
        <w:jc w:val="center"/>
        <w:spacing w:before="200"/>
        <w:rPr>
          <w:rFonts w:hint="eastAsia" w:ascii="宋体" w:hAnsi="宋体" w:eastAsia="宋体" w:cs="宋体"/>
          <w:color w:val="000000"/>
          <w:sz w:val="44"/>
          <w:highlight w:val="none"/>
        </w:rPr>
      </w:pPr>
      <w:r>
        <w:rPr>
          <w:rFonts w:hint="eastAsia" w:ascii="宋体" w:hAnsi="宋体" w:eastAsia="宋体" w:cs="宋体"/>
          <w:color w:val="000000"/>
          <w:sz w:val="44"/>
          <w:highlight w:val="none"/>
        </w:rPr>
        <w:t xml:space="preserve">第二章  投标人须知</w:t>
      </w:r>
      <w:bookmarkEnd w:id="56"/>
      <w:r/>
      <w:bookmarkEnd w:id="57"/>
      <w:r/>
      <w:bookmarkEnd w:id="58"/>
      <w:r/>
      <w:bookmarkEnd w:id="59"/>
      <w:r/>
      <w:bookmarkEnd w:id="60"/>
      <w:r/>
      <w:r/>
    </w:p>
    <w:p>
      <w:pPr>
        <w:pStyle w:val="874"/>
        <w:spacing w:before="0" w:after="120" w:line="520" w:lineRule="exact"/>
        <w:rPr>
          <w:rFonts w:hint="eastAsia" w:ascii="宋体" w:hAnsi="宋体" w:eastAsia="宋体" w:cs="宋体"/>
          <w:bCs/>
          <w:color w:val="000000"/>
          <w:szCs w:val="22"/>
          <w:highlight w:val="none"/>
        </w:rPr>
      </w:pPr>
      <w:r/>
      <w:bookmarkStart w:id="61" w:name="_Toc4529"/>
      <w:r>
        <w:rPr>
          <w:rFonts w:hint="eastAsia" w:ascii="宋体" w:hAnsi="宋体" w:eastAsia="宋体" w:cs="宋体"/>
          <w:bCs/>
          <w:color w:val="000000"/>
          <w:szCs w:val="22"/>
          <w:highlight w:val="none"/>
        </w:rPr>
        <w:t xml:space="preserve">投标人须知前附表：</w:t>
      </w:r>
      <w:bookmarkEnd w:id="61"/>
      <w:r/>
      <w:r/>
    </w:p>
    <w:tbl>
      <w:tblPr>
        <w:tblStyle w:val="839"/>
        <w:tblpPr w:horzAnchor="page" w:tblpX="1530" w:vertAnchor="text" w:tblpY="228" w:leftFromText="180" w:topFromText="0" w:rightFromText="180" w:bottomFromText="0"/>
        <w:tblW w:w="94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35"/>
        <w:gridCol w:w="6808"/>
      </w:tblGrid>
      <w:tr>
        <w:trPr>
          <w:trHeight w:val="462"/>
        </w:trPr>
        <w:tc>
          <w:tcPr>
            <w:tcW w:w="858" w:type="dxa"/>
            <w:vAlign w:val="center"/>
            <w:textDirection w:val="lrTb"/>
            <w:noWrap w:val="false"/>
          </w:tcPr>
          <w:p>
            <w:pPr>
              <w:jc w:val="center"/>
              <w:rPr>
                <w:rFonts w:hint="eastAsia" w:ascii="宋体" w:hAnsi="宋体" w:eastAsia="宋体" w:cs="宋体"/>
                <w:b/>
                <w:color w:val="000000"/>
                <w:sz w:val="24"/>
                <w:szCs w:val="24"/>
                <w:highlight w:val="none"/>
              </w:rPr>
            </w:pPr>
            <w:r/>
            <w:bookmarkStart w:id="62" w:name="_Toc81575154"/>
            <w:r/>
            <w:bookmarkStart w:id="63" w:name="_Toc81575191"/>
            <w:r/>
            <w:bookmarkStart w:id="64" w:name="_Toc29262"/>
            <w:r>
              <w:rPr>
                <w:rFonts w:hint="eastAsia" w:ascii="宋体" w:hAnsi="宋体" w:eastAsia="宋体" w:cs="宋体"/>
                <w:b/>
                <w:color w:val="000000"/>
                <w:sz w:val="24"/>
                <w:szCs w:val="24"/>
                <w:highlight w:val="none"/>
              </w:rPr>
              <w:t xml:space="preserve">序号</w:t>
            </w:r>
            <w:r/>
          </w:p>
        </w:tc>
        <w:tc>
          <w:tcPr>
            <w:tcW w:w="1735"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p>
        </w:tc>
        <w:tc>
          <w:tcPr>
            <w:tcW w:w="6808"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bookmarkStart w:id="65" w:name="EB9a5853ee094f4f0ea6ec3169265f6f2c"/>
            <w:r>
              <w:rPr>
                <w:rFonts w:hint="eastAsia" w:ascii="宋体" w:hAnsi="宋体" w:eastAsia="宋体" w:cs="宋体"/>
                <w:color w:val="000000"/>
                <w:sz w:val="24"/>
                <w:szCs w:val="24"/>
                <w:highlight w:val="none"/>
              </w:rPr>
              <w:t xml:space="preserve">属性按以下第</w:t>
            </w:r>
            <w:bookmarkEnd w:id="65"/>
            <w:r>
              <w:rPr>
                <w:rFonts w:hint="eastAsia" w:ascii="宋体" w:hAnsi="宋体" w:eastAsia="宋体" w:cs="宋体"/>
                <w:color w:val="000000"/>
                <w:sz w:val="24"/>
                <w:szCs w:val="24"/>
                <w:highlight w:val="none"/>
                <w:u w:val="single"/>
                <w:lang w:val="en-US" w:eastAsia="zh-CN"/>
              </w:rPr>
              <w:t xml:space="preserve"> 1 </w:t>
            </w:r>
            <w:r>
              <w:rPr>
                <w:rFonts w:hint="eastAsia" w:ascii="宋体" w:hAnsi="宋体" w:eastAsia="宋体" w:cs="宋体"/>
                <w:color w:val="000000"/>
                <w:sz w:val="24"/>
                <w:szCs w:val="24"/>
                <w:highlight w:val="none"/>
              </w:rPr>
              <w:t xml:space="preserve">种确定：</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1.货物</w:t>
            </w:r>
            <w:bookmarkStart w:id="66" w:name="EBd5c6c026f9674c39b21b31ecd0c1e7fa"/>
            <w:r>
              <w:rPr>
                <w:rFonts w:hint="eastAsia" w:ascii="宋体" w:hAnsi="宋体" w:eastAsia="宋体" w:cs="宋体"/>
                <w:color w:val="000000"/>
                <w:sz w:val="24"/>
                <w:szCs w:val="24"/>
                <w:highlight w:val="none"/>
              </w:rPr>
              <w:t xml:space="preserve">采购；2.</w:t>
            </w:r>
            <w:bookmarkEnd w:id="66"/>
            <w:r>
              <w:rPr>
                <w:rFonts w:hint="eastAsia" w:ascii="宋体" w:hAnsi="宋体" w:eastAsia="宋体" w:cs="宋体"/>
                <w:color w:val="000000"/>
                <w:sz w:val="24"/>
                <w:szCs w:val="24"/>
                <w:highlight w:val="none"/>
              </w:rPr>
              <w:t xml:space="preserve">服务</w:t>
            </w:r>
            <w:bookmarkStart w:id="67" w:name="EBf7d2a4f44ecb4166a93ea852e73be69f"/>
            <w:r>
              <w:rPr>
                <w:rFonts w:hint="eastAsia" w:ascii="宋体" w:hAnsi="宋体" w:eastAsia="宋体" w:cs="宋体"/>
                <w:color w:val="000000"/>
                <w:sz w:val="24"/>
                <w:szCs w:val="24"/>
                <w:highlight w:val="none"/>
              </w:rPr>
              <w:t xml:space="preserve">采购；3.</w:t>
            </w:r>
            <w:bookmarkEnd w:id="67"/>
            <w:r>
              <w:rPr>
                <w:rFonts w:hint="eastAsia" w:ascii="宋体" w:hAnsi="宋体" w:eastAsia="宋体" w:cs="宋体"/>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bookmarkStart w:id="68" w:name="EBd40b5fb42f2944a3b45e579ce3941f02"/>
            <w:r/>
            <w:bookmarkEnd w:id="68"/>
            <w:r>
              <w:rPr>
                <w:rFonts w:hint="eastAsia" w:ascii="宋体" w:hAnsi="宋体" w:eastAsia="宋体" w:cs="宋体"/>
                <w:color w:val="000000"/>
                <w:sz w:val="24"/>
                <w:szCs w:val="24"/>
                <w:highlight w:val="none"/>
              </w:rPr>
              <w:t xml:space="preserve">60日（从提交投标文件截止之日起算）</w:t>
            </w:r>
            <w:r/>
          </w:p>
        </w:tc>
      </w:tr>
      <w:tr>
        <w:trPr>
          <w:trHeight w:val="779"/>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提交加密电子投标文件</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进口产品</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种方式确定：</w:t>
            </w:r>
            <w:r/>
          </w:p>
          <w:p>
            <w:pPr>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1.接受进口产品。</w:t>
            </w:r>
            <w:r>
              <w:rPr>
                <w:rFonts w:hint="eastAsia" w:ascii="宋体" w:hAnsi="宋体" w:eastAsia="宋体" w:cs="宋体"/>
                <w:color w:val="000000"/>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000000"/>
                <w:sz w:val="24"/>
                <w:szCs w:val="24"/>
                <w:highlight w:val="none"/>
              </w:rPr>
              <w:t xml:space="preserve">；</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具体评标办法详见招标文件第三章。</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评标委员会依据招标文件规定的评标办法和标准推荐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确定中标人</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lang w:val="en-US" w:eastAsia="zh-CN"/>
              </w:rPr>
              <w:t xml:space="preserve"> 1</w:t>
            </w:r>
            <w:r>
              <w:rPr>
                <w:rFonts w:hint="eastAsia" w:ascii="宋体" w:hAnsi="宋体" w:eastAsia="宋体" w:cs="宋体"/>
                <w:color w:val="000000"/>
                <w:sz w:val="24"/>
                <w:szCs w:val="24"/>
                <w:highlight w:val="none"/>
              </w:rPr>
              <w:t xml:space="preserve">种方式确定中标人：</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1.采购人按规定在评标委员会推荐的中标候选人中确定中标人；</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分包要求</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bookmarkStart w:id="69" w:name="EBebac1462c5d9459fbda8a75065c2455d"/>
            <w:r>
              <w:rPr>
                <w:rFonts w:hint="eastAsia" w:ascii="宋体" w:hAnsi="宋体" w:eastAsia="宋体" w:cs="宋体"/>
                <w:color w:val="000000"/>
                <w:sz w:val="24"/>
                <w:szCs w:val="24"/>
                <w:highlight w:val="none"/>
              </w:rPr>
              <w:t xml:space="preserve">本项目的非主体、非关键性工作是否允许分包</w:t>
            </w:r>
            <w:bookmarkEnd w:id="69"/>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种方式确定：</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1.允许分包，</w:t>
            </w:r>
            <w:bookmarkStart w:id="70" w:name="EB512ba06683724173802e2aae54a26079"/>
            <w:r>
              <w:rPr>
                <w:rFonts w:hint="eastAsia" w:ascii="宋体" w:hAnsi="宋体" w:eastAsia="宋体" w:cs="宋体"/>
                <w:color w:val="000000"/>
                <w:sz w:val="24"/>
                <w:szCs w:val="24"/>
                <w:highlight w:val="none"/>
              </w:rPr>
              <w:t xml:space="preserve">允许大中型企业向一家或者多家小微企业分包，分包具体内容、金额或比例：</w:t>
            </w:r>
            <w:bookmarkEnd w:id="70"/>
            <w:r>
              <w:rPr>
                <w:rFonts w:hint="eastAsia" w:ascii="宋体" w:hAnsi="宋体" w:eastAsia="宋体" w:cs="宋体"/>
                <w:color w:val="000000"/>
                <w:sz w:val="24"/>
                <w:szCs w:val="24"/>
                <w:highlight w:val="none"/>
              </w:rPr>
              <w:t xml:space="preserve">无</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代理费用收取方式及标准</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lang w:val="en-US" w:eastAsia="zh-CN"/>
              </w:rPr>
            </w:pPr>
            <w:r/>
            <w:bookmarkStart w:id="71" w:name="EBfe735bb6fc4d4e5e9e350f940db98c5f"/>
            <w:r/>
            <w:bookmarkEnd w:id="71"/>
            <w:r>
              <w:rPr>
                <w:rFonts w:hint="eastAsia" w:ascii="宋体" w:hAnsi="宋体" w:eastAsia="宋体" w:cs="宋体"/>
                <w:color w:val="000000"/>
                <w:sz w:val="24"/>
                <w:szCs w:val="24"/>
                <w:highlight w:val="none"/>
                <w:lang w:val="en-US" w:eastAsia="zh-CN"/>
              </w:rPr>
              <w:t xml:space="preserve">按照《江苏省招标代理服务收费指导意见》苏政采协【2024】20号</w:t>
            </w:r>
            <w:r>
              <w:rPr>
                <w:rFonts w:hint="eastAsia" w:ascii="宋体" w:hAnsi="宋体" w:cs="宋体"/>
                <w:color w:val="000000"/>
                <w:sz w:val="24"/>
                <w:szCs w:val="24"/>
                <w:highlight w:val="none"/>
                <w:lang w:val="en-US" w:eastAsia="zh-CN"/>
              </w:rPr>
              <w:t xml:space="preserve">收取</w:t>
            </w:r>
            <w:r>
              <w:rPr>
                <w:rFonts w:hint="eastAsia" w:ascii="宋体" w:hAnsi="宋体" w:eastAsia="宋体" w:cs="宋体"/>
                <w:color w:val="000000"/>
                <w:sz w:val="24"/>
                <w:szCs w:val="24"/>
                <w:highlight w:val="none"/>
                <w:lang w:val="en-US" w:eastAsia="zh-CN"/>
              </w:rPr>
              <w:t xml:space="preserve">招标代理服务费，可采用数字人民币支付。</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bookmarkEnd w:id="62"/>
            <w:r/>
            <w:bookmarkEnd w:id="63"/>
            <w:r/>
            <w:bookmarkEnd w:id="64"/>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专家评审劳务报酬支付标准、方式及周期支付标准</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参照《宿迁市政府采购专家评审费发放标准》宿财购[2018]32号支付，(2小时以内200元/人;超过2小时不足8小时的，按100元/人·小时计算;连续评审超过8小时，超出部分按200元/人·小时计算。)支付方式及周期:费用由采购人通过预算一体化系统支付评审费，支付周期不超过评审结束后25个工作日。</w:t>
            </w:r>
            <w:r/>
          </w:p>
        </w:tc>
      </w:tr>
      <w:tr>
        <w:trPr/>
        <w:tc>
          <w:tcPr>
            <w:shd w:val="clear" w:color="auto" w:fill="auto"/>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w:t>
            </w:r>
            <w:r/>
          </w:p>
        </w:tc>
        <w:tc>
          <w:tcPr>
            <w:shd w:val="clear" w:color="auto" w:fill="auto"/>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其他</w:t>
            </w:r>
            <w:r/>
          </w:p>
        </w:tc>
        <w:tc>
          <w:tcPr>
            <w:shd w:val="clear" w:color="auto" w:fill="auto"/>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74"/>
        <w:ind w:firstLine="643"/>
        <w:pageBreakBefore w:val="0"/>
        <w:spacing w:before="0" w:after="0" w:line="480" w:lineRule="exact"/>
        <w:widowControl w:val="off"/>
        <w:rPr>
          <w:rFonts w:hint="eastAsia" w:ascii="宋体" w:hAnsi="宋体" w:eastAsia="宋体" w:cs="宋体"/>
          <w:bCs/>
          <w:color w:val="000000"/>
          <w:szCs w:val="22"/>
          <w:highlight w:val="none"/>
        </w:rPr>
      </w:pPr>
      <w:r/>
      <w:bookmarkStart w:id="72" w:name="EB6eaaf474639940df900ef4965d71f450"/>
      <w:r/>
      <w:bookmarkEnd w:id="72"/>
      <w:r/>
      <w:bookmarkStart w:id="73" w:name="_Toc81575192"/>
      <w:r/>
      <w:bookmarkStart w:id="74" w:name="_Toc8239"/>
      <w:r/>
      <w:bookmarkStart w:id="75" w:name="_Toc81575155"/>
      <w:r/>
      <w:bookmarkStart w:id="76" w:name="_Toc30953"/>
      <w:r>
        <w:rPr>
          <w:rFonts w:hint="eastAsia" w:ascii="宋体" w:hAnsi="宋体" w:eastAsia="宋体" w:cs="宋体"/>
          <w:bCs/>
          <w:color w:val="000000"/>
          <w:szCs w:val="22"/>
          <w:highlight w:val="none"/>
        </w:rPr>
        <w:t xml:space="preserve">一、总 则</w:t>
      </w:r>
      <w:bookmarkEnd w:id="73"/>
      <w:r/>
      <w:bookmarkEnd w:id="74"/>
      <w:r/>
      <w:bookmarkEnd w:id="75"/>
      <w:r/>
      <w:bookmarkEnd w:id="76"/>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1、招标方式</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本次采购采取公开招标方式。</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2、合格的投标人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2.2满足本文件实质性要求的规定。</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3、适用法律</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本次招标及由招标产生的合同受中华人民共和国的相关法律、法规制约和保护。</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4、投标费用</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投标人应自行承担所有参加投标有关的费用。</w:t>
      </w:r>
      <w:r/>
    </w:p>
    <w:p>
      <w:pPr>
        <w:pStyle w:val="874"/>
        <w:ind w:firstLine="643"/>
        <w:pageBreakBefore w:val="0"/>
        <w:spacing w:before="0" w:after="0" w:line="480" w:lineRule="exact"/>
        <w:widowControl w:val="off"/>
        <w:rPr>
          <w:rFonts w:hint="eastAsia" w:ascii="宋体" w:hAnsi="宋体" w:eastAsia="宋体" w:cs="宋体"/>
          <w:bCs/>
          <w:color w:val="000000"/>
          <w:szCs w:val="22"/>
          <w:highlight w:val="none"/>
        </w:rPr>
      </w:pPr>
      <w:r/>
      <w:bookmarkStart w:id="77" w:name="_Toc81575156"/>
      <w:r/>
      <w:bookmarkStart w:id="78" w:name="_Toc15995"/>
      <w:r/>
      <w:bookmarkStart w:id="79" w:name="_Toc81575193"/>
      <w:r/>
      <w:bookmarkStart w:id="80" w:name="_Toc29306"/>
      <w:r>
        <w:rPr>
          <w:rFonts w:hint="eastAsia" w:ascii="宋体" w:hAnsi="宋体" w:eastAsia="宋体" w:cs="宋体"/>
          <w:bCs/>
          <w:color w:val="000000"/>
          <w:szCs w:val="22"/>
          <w:highlight w:val="none"/>
        </w:rPr>
        <w:t xml:space="preserve">二、招标文件</w:t>
      </w:r>
      <w:bookmarkEnd w:id="77"/>
      <w:r/>
      <w:bookmarkEnd w:id="78"/>
      <w:r/>
      <w:bookmarkEnd w:id="79"/>
      <w:r/>
      <w:bookmarkEnd w:id="80"/>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5、招标文件构成</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5.1招标文件由以下部分组成：</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第一章：投标邀请；</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第二章：投标人须知；</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第三章：资格审查及评标办法；</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第四章：采购需求；</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第五章：合同文本；</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第六章：投标文件格式。</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请仔细检查招标文件是否齐全，如有缺漏请立即与代理机构联系解决。</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6、政府采购政策功能落实</w:t>
      </w:r>
      <w:r/>
    </w:p>
    <w:p>
      <w:pPr>
        <w:ind w:firstLine="482"/>
        <w:pageBreakBefore w:val="0"/>
        <w:spacing w:line="480" w:lineRule="exact"/>
        <w:widowControl w:val="off"/>
        <w:rPr>
          <w:rFonts w:hint="eastAsia" w:ascii="宋体" w:hAnsi="宋体" w:eastAsia="宋体" w:cs="宋体"/>
          <w:b/>
          <w:bCs/>
          <w:color w:val="000000"/>
          <w:sz w:val="24"/>
          <w:highlight w:val="none"/>
          <w:u w:val="single"/>
        </w:rPr>
      </w:pPr>
      <w:r>
        <w:rPr>
          <w:rFonts w:hint="eastAsia" w:ascii="宋体" w:hAnsi="宋体" w:eastAsia="宋体" w:cs="宋体"/>
          <w:b/>
          <w:bCs/>
          <w:color w:val="000000"/>
          <w:sz w:val="24"/>
          <w:highlight w:val="none"/>
        </w:rPr>
        <w:t xml:space="preserve">本项目落实的政府采购政策对应序号为</w:t>
      </w:r>
      <w:r>
        <w:rPr>
          <w:rFonts w:hint="eastAsia" w:ascii="宋体" w:hAnsi="宋体" w:eastAsia="宋体" w:cs="宋体"/>
          <w:b/>
          <w:bCs/>
          <w:color w:val="000000"/>
          <w:sz w:val="24"/>
          <w:highlight w:val="none"/>
          <w:u w:val="single"/>
          <w:lang w:val="en-US" w:eastAsia="zh-CN"/>
        </w:rPr>
        <w:t xml:space="preserve">6.1、6.2、</w:t>
      </w:r>
      <w:r>
        <w:rPr>
          <w:rFonts w:hint="eastAsia" w:ascii="宋体" w:hAnsi="宋体" w:eastAsia="宋体" w:cs="宋体"/>
          <w:b/>
          <w:bCs/>
          <w:color w:val="000000"/>
          <w:sz w:val="24"/>
          <w:highlight w:val="none"/>
          <w:u w:val="single"/>
        </w:rPr>
        <w:t xml:space="preserve">6.3 </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6.1中小企业政策</w:t>
      </w:r>
      <w:r/>
    </w:p>
    <w:p>
      <w:pPr>
        <w:pStyle w:val="951"/>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b/>
          <w:bCs/>
          <w:color w:val="000000"/>
          <w:sz w:val="24"/>
          <w:szCs w:val="24"/>
          <w:highlight w:val="none"/>
          <w:u w:val="single"/>
          <w:lang w:val="en-US" w:eastAsia="zh-CN"/>
        </w:rPr>
        <w:t xml:space="preserve">工</w:t>
      </w:r>
      <w:r>
        <w:rPr>
          <w:rFonts w:hint="eastAsia" w:ascii="宋体" w:hAnsi="宋体" w:eastAsia="宋体" w:cs="宋体"/>
          <w:b/>
          <w:bCs/>
          <w:color w:val="000000"/>
          <w:sz w:val="24"/>
          <w:szCs w:val="24"/>
          <w:highlight w:val="none"/>
          <w:u w:val="single"/>
        </w:rPr>
        <w:t xml:space="preserve">业</w:t>
      </w:r>
      <w:r>
        <w:rPr>
          <w:rFonts w:hint="eastAsia" w:cs="宋体"/>
          <w:b/>
          <w:bCs/>
          <w:color w:val="000000"/>
          <w:sz w:val="24"/>
          <w:szCs w:val="24"/>
          <w:highlight w:val="none"/>
          <w:u w:val="single"/>
          <w:lang w:eastAsia="zh-CN"/>
        </w:rPr>
        <w:t xml:space="preserve">（</w:t>
      </w:r>
      <w:r>
        <w:rPr>
          <w:rFonts w:hint="eastAsia" w:cs="宋体"/>
          <w:b/>
          <w:bCs/>
          <w:color w:val="000000"/>
          <w:sz w:val="24"/>
          <w:szCs w:val="24"/>
          <w:highlight w:val="none"/>
          <w:u w:val="single"/>
          <w:lang w:val="en-US" w:eastAsia="zh-CN"/>
        </w:rPr>
        <w:t xml:space="preserve">制造业</w:t>
      </w:r>
      <w:r>
        <w:rPr>
          <w:rFonts w:hint="eastAsia"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rPr>
        <w:t xml:space="preserve">；</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本项目按第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种政策落实：</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（1）本项目专门面向中小企业（含监狱与戒毒企业、残疾人福利企业）采购。</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（2）对符合规定情形的小微企业报价给予</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10%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扣除，用扣除后的价格参加评审。</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w:t>
      </w:r>
      <w:r>
        <w:rPr>
          <w:rFonts w:hint="eastAsia" w:ascii="宋体" w:hAnsi="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提供的货物既有中小企业制造货物，也有大型企业制造货物的，不享受中小企业扶持政策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在服务采购项目中，服务由中小企业承接，即提供服务的人员为中小企业依照《中华人民共和国劳动合同法》订立劳动合同的从业人员。</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6.2节能产品、环境标志产品</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6.2.</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采用最低评标价法的项目，同等条件下优先推荐提供有效节能环保证书多的投标人为中标人。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6.3政府采购需求标准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6.3.1商品包装、快递包装政府采购需求标准（试行）</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6.3.2绿色数据中心政府采购需求标准（试行）</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6.3.3绿色建材政府采购需求标准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6.4采购产品中涉及涂料、胶黏剂、油墨、清洗剂等挥发性有机物产品的，属于强制性标准的，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应当提供符合国家和江苏省相关VOCs 含量限制标准的产品。采购产品中涉及通用类货物、家具的，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应当优先使用低挥发性原辅材料，采购人将使用低VOCs含量的涂料、胶黏剂等纳入政府采购合同条款的，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必须严格执行。</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7、招标文件的澄清或修改</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7.2招标文件的澄清、修改将在原公告媒体上发布更正公告，澄清、修改文件均作为招标文件的组成部分，并对投标人具有约束力。</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74"/>
        <w:ind w:firstLine="643"/>
        <w:pageBreakBefore w:val="0"/>
        <w:spacing w:before="0" w:after="0" w:line="480" w:lineRule="exact"/>
        <w:widowControl w:val="off"/>
        <w:rPr>
          <w:rFonts w:hint="eastAsia" w:ascii="宋体" w:hAnsi="宋体" w:eastAsia="宋体" w:cs="宋体"/>
          <w:bCs/>
          <w:color w:val="000000"/>
          <w:szCs w:val="22"/>
          <w:highlight w:val="none"/>
        </w:rPr>
      </w:pPr>
      <w:r/>
      <w:bookmarkStart w:id="81" w:name="_Toc11461"/>
      <w:r/>
      <w:bookmarkStart w:id="82" w:name="_Toc81575157"/>
      <w:r/>
      <w:bookmarkStart w:id="83" w:name="_Toc81575194"/>
      <w:r/>
      <w:bookmarkStart w:id="84" w:name="_Toc5574"/>
      <w:r>
        <w:rPr>
          <w:rFonts w:hint="eastAsia" w:ascii="宋体" w:hAnsi="宋体" w:eastAsia="宋体" w:cs="宋体"/>
          <w:bCs/>
          <w:color w:val="000000"/>
          <w:szCs w:val="22"/>
          <w:highlight w:val="none"/>
        </w:rPr>
        <w:t xml:space="preserve">三、投标文件的编制</w:t>
      </w:r>
      <w:bookmarkEnd w:id="81"/>
      <w:r/>
      <w:bookmarkEnd w:id="82"/>
      <w:r/>
      <w:bookmarkEnd w:id="83"/>
      <w:r/>
      <w:bookmarkEnd w:id="84"/>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8、投标文件的编制要求</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9、投标文件构成</w:t>
      </w:r>
      <w:r/>
    </w:p>
    <w:p>
      <w:pPr>
        <w:ind w:firstLine="480"/>
        <w:pageBreakBefore w:val="0"/>
        <w:spacing w:line="480" w:lineRule="exact"/>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9.1投标文件包括资格证明文件、开标一览表、分项报价表、响应及偏离表、投标函、其他证明文件等部分。</w:t>
      </w:r>
      <w:r>
        <w:rPr>
          <w:rFonts w:hint="eastAsia" w:ascii="宋体" w:hAnsi="宋体" w:eastAsia="宋体" w:cs="宋体"/>
          <w:bCs/>
          <w:color w:val="000000"/>
          <w:sz w:val="24"/>
          <w:highlight w:val="none"/>
        </w:rPr>
        <w:t xml:space="preserve">投标文件构成资料为非中文时应提供中文译版。</w:t>
      </w:r>
      <w:bookmarkStart w:id="85" w:name="EBc50e2bb832bb43068403b10c1cce6141"/>
      <w:r/>
      <w:r/>
    </w:p>
    <w:p>
      <w:pPr>
        <w:ind w:firstLine="482"/>
        <w:pageBreakBefore w:val="0"/>
        <w:spacing w:line="480" w:lineRule="exact"/>
        <w:widowControl w:val="off"/>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10、投标报价</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10.1报价为一次报价，本项目不接受备选的投标方案或有选择的报价，只允许有一个报价。</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lang w:val="en-US" w:eastAsia="zh-CN"/>
        </w:rPr>
        <w:t xml:space="preserve">10.2</w:t>
      </w:r>
      <w:r>
        <w:rPr>
          <w:rFonts w:hint="eastAsia" w:ascii="Times New Roman" w:hAnsi="Times New Roman" w:cs="仿宋"/>
          <w:sz w:val="24"/>
          <w:highlight w:val="none"/>
        </w:rPr>
        <w:t xml:space="preserve">异常低价投标审查</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0.2.1</w:t>
      </w:r>
      <w:r>
        <w:rPr>
          <w:rFonts w:hint="eastAsia" w:ascii="Times New Roman" w:hAnsi="Times New Roman" w:cs="仿宋"/>
          <w:sz w:val="24"/>
          <w:highlight w:val="none"/>
        </w:rPr>
        <w:t xml:space="preserve">评标过程中出现下列情形之一的，评标委员会应当启动异常低价投标审查程序：</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（3）投标(响应)报价低于采购项目最高限价45%的，即投标(响应)报价&lt;采购项目最高限价×45%;</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（4）评审委员会基于专业判断，认为供应商报价过低，有可能影响产品质量或者不能诚信履约的其他情形。</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相关法律法规对供应商报价有规定的，从其规定。</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0.2.</w:t>
      </w:r>
      <w:r>
        <w:rPr>
          <w:rFonts w:hint="eastAsia" w:ascii="Times New Roman" w:hAnsi="Times New Roman" w:cs="仿宋"/>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eastAsia="宋体" w:cs="宋体"/>
          <w:color w:val="000000"/>
          <w:sz w:val="24"/>
          <w:highlight w:val="none"/>
        </w:rPr>
      </w:pPr>
      <w:r>
        <w:rPr>
          <w:rFonts w:hint="eastAsia" w:ascii="Times New Roman" w:hAnsi="Times New Roman" w:cs="仿宋"/>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11、投标保证金</w:t>
      </w:r>
      <w:bookmarkStart w:id="86" w:name="EB183a0bf075204c54a4ff090f1aecaaa7"/>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本项目不收取投标保证金。</w:t>
      </w:r>
      <w:bookmarkEnd w:id="86"/>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12、投标有效期</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74"/>
        <w:ind w:firstLine="643"/>
        <w:pageBreakBefore w:val="0"/>
        <w:spacing w:before="0" w:after="0" w:line="480" w:lineRule="exact"/>
        <w:widowControl w:val="off"/>
        <w:rPr>
          <w:rFonts w:hint="eastAsia" w:ascii="宋体" w:hAnsi="宋体" w:eastAsia="宋体" w:cs="宋体"/>
          <w:bCs/>
          <w:color w:val="000000"/>
          <w:szCs w:val="22"/>
          <w:highlight w:val="none"/>
        </w:rPr>
      </w:pPr>
      <w:r/>
      <w:bookmarkStart w:id="87" w:name="_Toc23443"/>
      <w:r/>
      <w:bookmarkStart w:id="88" w:name="_Toc81575195"/>
      <w:r/>
      <w:bookmarkStart w:id="89" w:name="_Toc2773"/>
      <w:r/>
      <w:bookmarkStart w:id="90" w:name="_Toc81575158"/>
      <w:r>
        <w:rPr>
          <w:rFonts w:hint="eastAsia" w:ascii="宋体" w:hAnsi="宋体" w:eastAsia="宋体" w:cs="宋体"/>
          <w:bCs/>
          <w:color w:val="000000"/>
          <w:szCs w:val="22"/>
          <w:highlight w:val="none"/>
        </w:rPr>
        <w:t xml:space="preserve">四、投标文件的提交</w:t>
      </w:r>
      <w:bookmarkEnd w:id="87"/>
      <w:r/>
      <w:bookmarkEnd w:id="88"/>
      <w:r/>
      <w:bookmarkEnd w:id="89"/>
      <w:r/>
      <w:bookmarkEnd w:id="90"/>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13、投标文件的提交</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13.2投标文件的修改和撤回：在投标截止时间前，投标人可以撤回或重新提交投标文件。投标文件以最终完成上传的为准。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14、投标文件被拒绝接收的情形</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在招标文件规定的投标截止时间后上传的投标文件或对投标报价或其他实质性内容修正的文件。</w:t>
      </w:r>
      <w:r/>
    </w:p>
    <w:p>
      <w:pPr>
        <w:pStyle w:val="874"/>
        <w:ind w:firstLine="643"/>
        <w:pageBreakBefore w:val="0"/>
        <w:spacing w:before="0" w:after="0" w:line="480" w:lineRule="exact"/>
        <w:widowControl w:val="off"/>
        <w:rPr>
          <w:rFonts w:hint="eastAsia" w:ascii="宋体" w:hAnsi="宋体" w:eastAsia="宋体" w:cs="宋体"/>
          <w:bCs/>
          <w:color w:val="000000"/>
          <w:szCs w:val="22"/>
          <w:highlight w:val="none"/>
        </w:rPr>
      </w:pPr>
      <w:r/>
      <w:bookmarkStart w:id="91" w:name="_Toc81575160"/>
      <w:r/>
      <w:bookmarkStart w:id="92" w:name="_Toc20026"/>
      <w:r/>
      <w:bookmarkStart w:id="93" w:name="_Toc81575197"/>
      <w:r/>
      <w:bookmarkStart w:id="94" w:name="_Toc959"/>
      <w:r>
        <w:rPr>
          <w:rFonts w:hint="eastAsia" w:ascii="宋体" w:hAnsi="宋体" w:eastAsia="宋体" w:cs="宋体"/>
          <w:bCs/>
          <w:color w:val="000000"/>
          <w:szCs w:val="22"/>
          <w:highlight w:val="none"/>
        </w:rPr>
        <w:t xml:space="preserve">五、开标、评标程序</w:t>
      </w:r>
      <w:bookmarkEnd w:id="91"/>
      <w:r/>
      <w:bookmarkEnd w:id="92"/>
      <w:r/>
      <w:bookmarkEnd w:id="93"/>
      <w:r/>
      <w:bookmarkEnd w:id="94"/>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15、开标</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15.2开标仪式由采购代理机构组织。“苏采云”系统将自动对项目进行开标，并宣布各投标人名称和投标价格。</w:t>
      </w:r>
      <w:r/>
    </w:p>
    <w:p>
      <w:pPr>
        <w:ind w:firstLine="482"/>
        <w:pageBreakBefore w:val="0"/>
        <w:spacing w:line="48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15.5投标人在开、评标全过程中应保持通讯畅通，及时登录“苏采云”系统查阅、答复相关信息。</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16、评标委员会</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17、评标程序</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17.1资格审查</w:t>
      </w:r>
      <w:bookmarkStart w:id="95" w:name="EBa9c0a2c9e523494487594c65b2a92370"/>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开标结束后，采购人依法根据招标文件的规定对投标人的资格证明文件等进行审查。</w:t>
      </w:r>
      <w:bookmarkEnd w:id="95"/>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17.2符合性检查</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6" w:name="EB1499356fad43416eb16398733accabf7"/>
      <w:r>
        <w:rPr>
          <w:rFonts w:hint="eastAsia" w:ascii="宋体" w:hAnsi="宋体" w:eastAsia="宋体" w:cs="宋体"/>
          <w:color w:val="000000"/>
          <w:sz w:val="24"/>
          <w:highlight w:val="none"/>
        </w:rPr>
        <w:t xml:space="preserve">所谓重大偏离是指投标人投标文件中所述设备质量、技术规格、数量、交货期、服务等明显不能满足招标文件要求。</w:t>
      </w:r>
      <w:bookmarkEnd w:id="96"/>
      <w:r>
        <w:rPr>
          <w:rFonts w:hint="eastAsia" w:ascii="宋体" w:hAnsi="宋体" w:eastAsia="宋体" w:cs="宋体"/>
          <w:color w:val="000000"/>
          <w:sz w:val="24"/>
          <w:highlight w:val="none"/>
        </w:rPr>
        <w:t xml:space="preserve">重大偏离的认定需经过评标委员会以少数服从多数的原则作出结论。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17.5相同品牌产品投标</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17.5.3非单一产品采购项目，采购人确定核心产品，并在招标文件中载明。多家投标人提供的核心产品品牌相同的，按前两款规定处理。</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17.6有关问题的澄清</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17.6.2投标文件报价出现前后不一致的，除招标文件另有规定外，按照下列规定修正：</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①投标文件中开标一览表（报价表）内容与投标文件中相应内容不一致的，以开标一览表（报价表）为准；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②大写金额和小写金额不一致的，以大写金额为准；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③单价金额小数点或者百分比有明显错位的，以开标一览表的总价为准，并修改单价；</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④总价金额与按单价汇总金额不一致的，以单价金额计算结果为准。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同时出现两种以上不一致的，按照前款规定的顺序修正。</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评标过程中，不得去掉报价中的最高报价和最低报价。</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17.7比较</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评标委员会将按招标文件中规定的评标方法和标准，对符合性检查合格的投标文件进行商务和技术评比。</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17.8推荐中标候选人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评标委员会按照招标文件中规定的评标方法和标准推荐中标候选人。</w:t>
      </w:r>
      <w:r/>
    </w:p>
    <w:p>
      <w:pPr>
        <w:pStyle w:val="874"/>
        <w:ind w:firstLine="643"/>
        <w:pageBreakBefore w:val="0"/>
        <w:spacing w:before="0" w:after="0" w:line="480" w:lineRule="exact"/>
        <w:widowControl w:val="off"/>
        <w:rPr>
          <w:rFonts w:hint="eastAsia" w:ascii="宋体" w:hAnsi="宋体" w:eastAsia="宋体" w:cs="宋体"/>
          <w:bCs/>
          <w:color w:val="000000"/>
          <w:szCs w:val="22"/>
          <w:highlight w:val="none"/>
        </w:rPr>
      </w:pPr>
      <w:r/>
      <w:bookmarkStart w:id="97" w:name="_Toc8712"/>
      <w:r/>
      <w:bookmarkStart w:id="98" w:name="_Toc81575196"/>
      <w:r/>
      <w:bookmarkStart w:id="99" w:name="_Toc81575159"/>
      <w:r/>
      <w:bookmarkStart w:id="100" w:name="_Toc8841"/>
      <w:r>
        <w:rPr>
          <w:rFonts w:hint="eastAsia" w:ascii="宋体" w:hAnsi="宋体" w:eastAsia="宋体" w:cs="宋体"/>
          <w:bCs/>
          <w:color w:val="000000"/>
          <w:szCs w:val="22"/>
          <w:highlight w:val="none"/>
        </w:rPr>
        <w:t xml:space="preserve">六、无效投标、废标、串通投标</w:t>
      </w:r>
      <w:bookmarkEnd w:id="97"/>
      <w:r/>
      <w:bookmarkEnd w:id="98"/>
      <w:r/>
      <w:bookmarkEnd w:id="99"/>
      <w:r/>
      <w:bookmarkEnd w:id="100"/>
      <w:r>
        <w:rPr>
          <w:rFonts w:hint="eastAsia" w:ascii="宋体" w:hAnsi="宋体" w:eastAsia="宋体" w:cs="宋体"/>
          <w:bCs/>
          <w:color w:val="000000"/>
          <w:szCs w:val="22"/>
          <w:highlight w:val="none"/>
        </w:rPr>
        <w:t xml:space="preserve">及取消中标候选人资格情形</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18、无效投标情形</w:t>
      </w:r>
      <w:r/>
    </w:p>
    <w:p>
      <w:pPr>
        <w:ind w:firstLine="480"/>
        <w:pageBreakBefore w:val="0"/>
        <w:spacing w:line="480" w:lineRule="exact"/>
        <w:widowControl w:val="off"/>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18.1投标人同一采购包提交两个（含两个）以上不同的投标报价的。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18.2投标人不符合招标文件规定资格要求的或未按规定提交资质证件的。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18.3投标人的报价超过了采购预算或最高限价的。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18.4投标文件未通过符合性审查的。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18.5投标文件出现重大偏离，不符合招标文件中规定的实质性要求的（★部分为实质性要求）。</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18.7投标文件未按照招标文件要求加盖CA电子公章的。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18.8投标人有本招标文件规定的恶意串通投标情形的。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18.9投标文件含有采购人不能接受的附加条件的。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18.10其他法律、法规及本招标文件规定的属无效投标的情形。</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19、废标情形</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19.1符合专业条件的投标人或者对招标文件作实质响应的投标人不足三家的。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19.2出现影响采购公正的违法、违规行为的。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19.3因重大变故，采购任务取消的。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19.4评标委员会认定招标文件存在歧义、重大缺陷导致评审工作无法进行的。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19.5在“苏采云”系统规定时间内成功解密电子投标文件的投标人不足3家的。</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20、投标人不足三家情形处理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21、串通投标情形</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有下列情形之一的，属于恶意串通投标：</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直接或间接从采购人或采购代理机构处获得其他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的投标情况，并修改其投标文件；</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21.2评审活动开始前</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直接或间接从采购人或采购代理机构处获得评标委员会组成人员情况；</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21.3</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接受采购人或采购代理机构授意撤换、修改投标文件；</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21.4</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之间协商投标报价、技术方案等投标文件实质性内容；</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21.5属于同一集团、协会、商会等组织成员的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按照该组织要求协同投标；</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21.6</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之间事先约定由某一特定</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中标、成交；</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21.7</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之间商定部分</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放弃投标或者放弃中标、成交；</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21.8</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与采购人或采购代理机构之间、</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相互之间为谋求特定</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中标成交或者排斥其他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的其他串通行为；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有下列情形之一的，视为投标人串通投标，其投标无效：</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21.9不同投标人的投标文件由同一单位或者个人编制；</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21.10不同投标人委托同一单位或者个人办理投标事宜；</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21.11不同投标人的投标文件载明的项目管理成员或者联系人员为同一人；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21.12不同投标人的投标文件异常一致或者投标报价呈规律性差异；</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21.13不同投标人的投标文件相互混装；</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21.14不同投标人的投标保证金从同一单位或者个人的账户转出。</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22、</w:t>
      </w:r>
      <w:bookmarkStart w:id="101" w:name="OLE_LINK4"/>
      <w:r>
        <w:rPr>
          <w:rFonts w:hint="eastAsia" w:ascii="宋体" w:hAnsi="宋体" w:eastAsia="宋体" w:cs="宋体"/>
          <w:b/>
          <w:color w:val="000000"/>
          <w:sz w:val="24"/>
          <w:highlight w:val="none"/>
        </w:rPr>
        <w:t xml:space="preserve">取消中标候选人资格情形</w:t>
      </w:r>
      <w:bookmarkEnd w:id="101"/>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22.1提供虚假材料谋取中标的；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22.2采取不正当手段诋毁、排挤其他投标人的；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22.3与采购人、其他投标人或者采购代理机构恶意串通的；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22.4向采购人、采购代理机构行贿或者提供其他不正当利益的；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22.5未在规定时间内与采购人签订采购合同的；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22.6法律、法规规定的其它情况。</w:t>
      </w:r>
      <w:bookmarkStart w:id="102" w:name="_Toc6494"/>
      <w:r/>
      <w:bookmarkStart w:id="103" w:name="_Toc2391"/>
      <w:r/>
      <w:bookmarkStart w:id="104" w:name="_Toc81575161"/>
      <w:r/>
      <w:bookmarkStart w:id="105" w:name="_Toc81575198"/>
      <w:r/>
      <w:r/>
    </w:p>
    <w:p>
      <w:pPr>
        <w:ind w:firstLine="643"/>
        <w:pageBreakBefore w:val="0"/>
        <w:spacing w:line="480" w:lineRule="exact"/>
        <w:widowControl w:val="off"/>
        <w:rPr>
          <w:rFonts w:hint="eastAsia" w:ascii="宋体" w:hAnsi="宋体" w:eastAsia="宋体" w:cs="宋体"/>
          <w:b/>
          <w:bCs/>
          <w:color w:val="000000"/>
          <w:sz w:val="32"/>
          <w:szCs w:val="22"/>
          <w:highlight w:val="none"/>
          <w:lang w:val="en-US" w:eastAsia="zh-CN" w:bidi="ar-SA"/>
        </w:rPr>
        <w:outlineLvl w:val="1"/>
      </w:pPr>
      <w:r>
        <w:rPr>
          <w:rFonts w:hint="eastAsia" w:ascii="宋体" w:hAnsi="宋体" w:eastAsia="宋体" w:cs="宋体"/>
          <w:b/>
          <w:bCs/>
          <w:color w:val="000000"/>
          <w:sz w:val="32"/>
          <w:szCs w:val="22"/>
          <w:highlight w:val="none"/>
          <w:lang w:val="en-US" w:eastAsia="zh-CN" w:bidi="ar-SA"/>
        </w:rPr>
        <w:t xml:space="preserve">七、中标及合同签订</w:t>
      </w:r>
      <w:bookmarkEnd w:id="102"/>
      <w:r/>
      <w:bookmarkEnd w:id="103"/>
      <w:r/>
      <w:bookmarkEnd w:id="104"/>
      <w:r/>
      <w:bookmarkEnd w:id="105"/>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23、确定中标人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23.1采购人应当自收到评审报告之日起5个工作日内在评审报告推荐的中标候选人中按顺序确定中标人。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23.2中标人确定之日起2个工作日内，采购人、采购代理机构将发布中标结果，中标公告的公告期限为1个工作日。</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23.3采购人确定正被列为失信被执行人的投标人为中标人的，中标结果无效。</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24、中标通知书</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24.1在公告中标结果的同时，采购代理机构将向中标人发出中标通知书。中标人使用CA数字证书登录“苏采云”系统及时下载中标通知书。</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24.2中标通知书发出后，采购人改变中标结果的，或者中标人放弃中标项目的，应当依法承担法律责任。</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24.3采用综合评分法评审的，未中标人可于中标结果公告期限届满之日起通过“苏采云”系统查看</w:t>
      </w:r>
      <w:bookmarkStart w:id="106" w:name="OLE_LINK5"/>
      <w:r>
        <w:rPr>
          <w:rFonts w:hint="eastAsia" w:ascii="宋体" w:hAnsi="宋体" w:eastAsia="宋体" w:cs="宋体"/>
          <w:color w:val="000000"/>
          <w:sz w:val="24"/>
          <w:highlight w:val="none"/>
        </w:rPr>
        <w:t xml:space="preserve">自己的评审得分及排序情况。</w:t>
      </w:r>
      <w:bookmarkEnd w:id="106"/>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25、授予合同</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25.2采购人在自合同签订之日起2个工作日内，将合同在指定的媒体上公告。</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26、</w:t>
      </w:r>
      <w:r>
        <w:rPr>
          <w:rFonts w:hint="eastAsia" w:ascii="宋体" w:hAnsi="宋体" w:eastAsia="宋体" w:cs="宋体"/>
          <w:color w:val="000000"/>
          <w:sz w:val="24"/>
          <w:highlight w:val="none"/>
        </w:rPr>
        <w:t xml:space="preserve">履约保证金</w:t>
      </w:r>
      <w:r/>
    </w:p>
    <w:p>
      <w:pPr>
        <w:ind w:firstLine="480"/>
        <w:pageBreakBefore w:val="0"/>
        <w:spacing w:line="480" w:lineRule="exact"/>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按照以下</w:t>
      </w:r>
      <w:r>
        <w:rPr>
          <w:rFonts w:hint="eastAsia" w:ascii="宋体" w:hAnsi="宋体" w:eastAsia="宋体" w:cs="宋体"/>
          <w:color w:val="000000"/>
          <w:sz w:val="24"/>
          <w:highlight w:val="none"/>
          <w:shd w:val="clear" w:color="auto" w:fill="auto"/>
          <w:lang w:val="zh-CN"/>
        </w:rPr>
        <w:t xml:space="preserve">第</w:t>
      </w:r>
      <w:r>
        <w:rPr>
          <w:rFonts w:hint="eastAsia" w:ascii="宋体" w:hAnsi="宋体" w:eastAsia="宋体" w:cs="宋体"/>
          <w:color w:val="000000"/>
          <w:sz w:val="24"/>
          <w:highlight w:val="none"/>
          <w:u w:val="single"/>
          <w:shd w:val="clear" w:color="auto" w:fill="auto"/>
        </w:rPr>
        <w:t xml:space="preserve">（</w:t>
      </w:r>
      <w:r>
        <w:rPr>
          <w:rFonts w:hint="eastAsia" w:ascii="宋体" w:hAnsi="宋体" w:eastAsia="宋体" w:cs="宋体"/>
          <w:color w:val="000000"/>
          <w:sz w:val="24"/>
          <w:highlight w:val="none"/>
          <w:u w:val="single"/>
          <w:shd w:val="clear" w:color="auto" w:fill="auto"/>
          <w:lang w:val="en-US" w:eastAsia="zh-CN"/>
        </w:rPr>
        <w:t xml:space="preserve">2</w:t>
      </w:r>
      <w:r>
        <w:rPr>
          <w:rFonts w:hint="eastAsia" w:ascii="宋体" w:hAnsi="宋体" w:eastAsia="宋体" w:cs="宋体"/>
          <w:color w:val="000000"/>
          <w:sz w:val="24"/>
          <w:highlight w:val="none"/>
          <w:u w:val="single"/>
          <w:shd w:val="clear" w:color="auto" w:fill="auto"/>
        </w:rPr>
        <w:t xml:space="preserve">）</w:t>
      </w:r>
      <w:r>
        <w:rPr>
          <w:rFonts w:hint="eastAsia" w:ascii="宋体" w:hAnsi="宋体" w:eastAsia="宋体" w:cs="宋体"/>
          <w:color w:val="000000"/>
          <w:sz w:val="24"/>
          <w:highlight w:val="none"/>
          <w:shd w:val="clear" w:color="auto" w:fill="auto"/>
          <w:lang w:val="zh-CN"/>
        </w:rPr>
        <w:t xml:space="preserve">方式确定</w:t>
      </w:r>
      <w:r>
        <w:rPr>
          <w:rFonts w:hint="eastAsia" w:ascii="宋体" w:hAnsi="宋体" w:eastAsia="宋体" w:cs="宋体"/>
          <w:color w:val="000000"/>
          <w:sz w:val="24"/>
          <w:highlight w:val="none"/>
          <w:lang w:val="zh-CN"/>
        </w:rPr>
        <w:t xml:space="preserve">履约保证</w:t>
      </w:r>
      <w:r>
        <w:rPr>
          <w:rFonts w:hint="eastAsia" w:ascii="宋体" w:hAnsi="宋体" w:eastAsia="宋体" w:cs="宋体"/>
          <w:color w:val="000000"/>
          <w:sz w:val="24"/>
          <w:highlight w:val="none"/>
        </w:rPr>
        <w:t xml:space="preserve">金</w:t>
      </w:r>
      <w:r>
        <w:rPr>
          <w:rFonts w:hint="eastAsia" w:ascii="宋体" w:hAnsi="宋体" w:eastAsia="宋体" w:cs="宋体"/>
          <w:color w:val="000000"/>
          <w:sz w:val="24"/>
          <w:highlight w:val="none"/>
          <w:lang w:val="zh-CN"/>
        </w:rPr>
        <w:t xml:space="preserve">收取方式。</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（1）本项目不收取履约保证金。</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（2）本项目收取履约保证金。</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26.1履约保证金提交形式</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26.2履约保证金提交金额</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按采购合同总价的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 </w:t>
      </w:r>
      <w:r>
        <w:rPr>
          <w:rFonts w:hint="eastAsia" w:ascii="宋体" w:hAnsi="宋体" w:eastAsia="宋体" w:cs="宋体"/>
          <w:color w:val="000000"/>
          <w:sz w:val="24"/>
          <w:highlight w:val="none"/>
        </w:rPr>
        <w:t xml:space="preserve">%提交。</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color w:val="000000"/>
          <w:sz w:val="24"/>
          <w:highlight w:val="none"/>
          <w:u w:val="single"/>
          <w:lang w:val="en-US" w:eastAsia="zh-CN"/>
        </w:rPr>
        <w:t xml:space="preserve">1.2</w:t>
      </w:r>
      <w:r>
        <w:rPr>
          <w:rFonts w:hint="eastAsia" w:ascii="宋体" w:hAnsi="宋体" w:eastAsia="宋体" w:cs="宋体"/>
          <w:color w:val="000000"/>
          <w:sz w:val="24"/>
          <w:highlight w:val="none"/>
        </w:rPr>
        <w:t xml:space="preserve"> %（履约保证金原提交金额的6折）提交。办理流程、偿付等内容见江苏政府采购网“保险保函”模块。</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26.3履约保证金退还方式</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26.4履约保证金退还条件</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具有验收合格相关证明材料。</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26.5履约保证金退还时间</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采购人收到投标人退付申请后5个工作日内退还。</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26.6履约保证金不予退还情形</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26.7逾期退还履约保证金违约责任</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t xml:space="preserve">27、线上融资</w:t>
      </w:r>
      <w:r/>
    </w:p>
    <w:p>
      <w:pPr>
        <w:ind w:firstLine="48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中标人可凭政府采购合同办理融资贷款，详情见江苏政府采购网“政采贷”专栏。</w:t>
      </w:r>
      <w:r/>
    </w:p>
    <w:p>
      <w:pPr>
        <w:ind w:firstLine="482"/>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28、合同履行</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28.1政府采购合同订立后，合同各方不得擅自变更、中止或者终止合同。</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74"/>
        <w:ind w:firstLine="643"/>
        <w:pageBreakBefore w:val="0"/>
        <w:spacing w:before="0" w:after="0" w:line="480" w:lineRule="exact"/>
        <w:widowControl w:val="off"/>
        <w:rPr>
          <w:rFonts w:hint="eastAsia" w:eastAsia="宋体" w:cs="Arial"/>
          <w:bCs/>
          <w:color w:val="000000"/>
          <w:szCs w:val="22"/>
          <w:highlight w:val="none"/>
        </w:rPr>
      </w:pPr>
      <w:r/>
      <w:bookmarkStart w:id="107" w:name="_Toc81575199"/>
      <w:r/>
      <w:bookmarkStart w:id="108" w:name="_Toc7550"/>
      <w:r/>
      <w:bookmarkStart w:id="109" w:name="_Toc22084"/>
      <w:r/>
      <w:bookmarkStart w:id="110" w:name="_Toc81575162"/>
      <w:r>
        <w:rPr>
          <w:rFonts w:hint="eastAsia" w:eastAsia="宋体" w:cs="Arial"/>
          <w:bCs/>
          <w:color w:val="000000"/>
          <w:szCs w:val="22"/>
          <w:highlight w:val="none"/>
        </w:rPr>
        <w:t xml:space="preserve">八、</w:t>
      </w:r>
      <w:bookmarkEnd w:id="107"/>
      <w:r/>
      <w:bookmarkEnd w:id="108"/>
      <w:r/>
      <w:bookmarkEnd w:id="109"/>
      <w:r/>
      <w:bookmarkEnd w:id="110"/>
      <w:r/>
      <w:bookmarkStart w:id="111" w:name="_Toc31888"/>
      <w:r/>
      <w:bookmarkStart w:id="112" w:name="_Toc81575163"/>
      <w:r/>
      <w:bookmarkStart w:id="113" w:name="_Toc12263"/>
      <w:r/>
      <w:bookmarkStart w:id="114" w:name="_Toc81575200"/>
      <w:r>
        <w:rPr>
          <w:rFonts w:hint="eastAsia" w:eastAsia="宋体" w:cs="Arial"/>
          <w:bCs/>
          <w:color w:val="000000"/>
          <w:szCs w:val="22"/>
          <w:highlight w:val="none"/>
        </w:rPr>
        <w:t xml:space="preserve">质疑与投诉</w:t>
      </w:r>
      <w:bookmarkEnd w:id="111"/>
      <w:r/>
      <w:bookmarkEnd w:id="112"/>
      <w:r/>
      <w:bookmarkEnd w:id="113"/>
      <w:r/>
      <w:bookmarkEnd w:id="114"/>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29、质疑</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29.1提出质疑的投标人应当是参与所质疑项目采购活动的投标人。潜在投标人依法获取其可质疑的采购文件的，可以对采购文件提出质疑。</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29.2.1对可以质疑的采购文件提出质疑的，为收到采购文件之日或者采购文件公告期限届满之日；</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29.2.2对采购过程提出质疑的，为各采购程序环节结束之日；</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29.2.3对中标或者成交结果提出质疑的，为中标或者成交结果公告期限届满之日。</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29.4投标人应以书面形式向采购人或者其委托的采购代理机构提出质疑。质疑超出采购机构代理范围的，投标人应当向采购人提出。</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接收质疑函的方式：现场接收或邮寄接收。</w:t>
      </w:r>
      <w:r/>
    </w:p>
    <w:p>
      <w:pPr>
        <w:ind w:firstLine="480"/>
        <w:pageBreakBefore w:val="0"/>
        <w:spacing w:line="480" w:lineRule="exact"/>
        <w:widowControl w:val="off"/>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rPr>
        <w:t xml:space="preserve">联系部门：</w:t>
      </w:r>
      <w:bookmarkStart w:id="115" w:name="EB587bd491a3fd493c8e729d1eaa56203a"/>
      <w:r>
        <w:rPr>
          <w:rFonts w:hint="eastAsia" w:ascii="宋体" w:hAnsi="宋体" w:cs="宋体"/>
          <w:b w:val="0"/>
          <w:bCs/>
          <w:color w:val="000000"/>
          <w:sz w:val="24"/>
          <w:highlight w:val="none"/>
          <w:u w:val="single"/>
          <w:lang w:eastAsia="zh-CN"/>
        </w:rPr>
        <w:t xml:space="preserve">泗洪县教育局</w:t>
      </w:r>
      <w:r>
        <w:rPr>
          <w:rFonts w:hint="eastAsia" w:ascii="宋体" w:hAnsi="宋体" w:eastAsia="宋体" w:cs="宋体"/>
          <w:b w:val="0"/>
          <w:bCs/>
          <w:color w:val="000000"/>
          <w:sz w:val="24"/>
          <w:highlight w:val="none"/>
          <w:u w:val="single"/>
        </w:rPr>
        <w:t xml:space="preserve">、江苏东田招标管理有限公司</w:t>
      </w:r>
      <w:bookmarkEnd w:id="115"/>
      <w:r/>
      <w:r/>
    </w:p>
    <w:p>
      <w:pPr>
        <w:ind w:firstLine="480"/>
        <w:pageBreakBefore w:val="0"/>
        <w:spacing w:line="480" w:lineRule="exact"/>
        <w:widowControl w:val="off"/>
        <w:rPr>
          <w:rFonts w:hint="eastAsia" w:ascii="宋体" w:hAnsi="宋体" w:eastAsia="宋体" w:cs="宋体"/>
          <w:b w:val="0"/>
          <w:bCs/>
          <w:color w:val="000000"/>
          <w:sz w:val="24"/>
          <w:highlight w:val="none"/>
          <w:u w:val="single"/>
          <w:lang w:val="en-US" w:eastAsia="zh-CN"/>
        </w:rPr>
      </w:pPr>
      <w:r>
        <w:rPr>
          <w:rFonts w:hint="eastAsia" w:ascii="宋体" w:hAnsi="宋体" w:eastAsia="宋体" w:cs="宋体"/>
          <w:b w:val="0"/>
          <w:bCs/>
          <w:color w:val="000000"/>
          <w:sz w:val="24"/>
          <w:highlight w:val="none"/>
        </w:rPr>
        <w:t xml:space="preserve">联系电话：</w:t>
      </w:r>
      <w:bookmarkStart w:id="116" w:name="EB5b41b423f63941cebdd46b3e34fcab34"/>
      <w:r>
        <w:rPr>
          <w:rFonts w:hint="eastAsia" w:ascii="宋体" w:hAnsi="宋体" w:eastAsia="宋体" w:cs="宋体"/>
          <w:b w:val="0"/>
          <w:bCs/>
          <w:color w:val="000000"/>
          <w:sz w:val="24"/>
          <w:highlight w:val="none"/>
          <w:u w:val="single"/>
        </w:rPr>
        <w:t xml:space="preserve">0527-86</w:t>
      </w:r>
      <w:bookmarkEnd w:id="116"/>
      <w:r>
        <w:rPr>
          <w:rFonts w:hint="eastAsia" w:ascii="宋体" w:hAnsi="宋体" w:eastAsia="宋体" w:cs="宋体"/>
          <w:b w:val="0"/>
          <w:bCs/>
          <w:color w:val="000000"/>
          <w:sz w:val="24"/>
          <w:highlight w:val="none"/>
          <w:u w:val="single"/>
          <w:lang w:val="en-US" w:eastAsia="zh-CN"/>
        </w:rPr>
        <w:t xml:space="preserve">666118</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通讯地址：</w:t>
      </w:r>
      <w:r>
        <w:rPr>
          <w:rFonts w:hint="eastAsia" w:ascii="宋体" w:hAnsi="宋体" w:cs="宋体"/>
          <w:b w:val="0"/>
          <w:bCs/>
          <w:color w:val="000000"/>
          <w:sz w:val="24"/>
          <w:highlight w:val="none"/>
          <w:u w:val="single"/>
          <w:lang w:eastAsia="zh-CN"/>
        </w:rPr>
        <w:t xml:space="preserve">泗洪县青阳街道洪泽湖东大街37号</w:t>
      </w:r>
      <w:r>
        <w:rPr>
          <w:rFonts w:hint="eastAsia" w:ascii="宋体" w:hAnsi="宋体" w:eastAsia="宋体" w:cs="宋体"/>
          <w:b w:val="0"/>
          <w:bCs/>
          <w:color w:val="000000"/>
          <w:sz w:val="24"/>
          <w:highlight w:val="none"/>
          <w:u w:val="single"/>
        </w:rPr>
        <w:t xml:space="preserve">、泗洪县嵩山南路2-15号</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29.5 以下情形的质疑不予受理</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29.5.1内容不符合《政府采购质疑和投诉办法》第十二条规定的质疑。</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29.5.2超出政府采购法定期限的质疑。</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29.5.3以传真、电子邮件等方式递交的非原件形式的质疑。</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29.5.4未参加投标活动的投标人或在投标活动中自身权益未受到损害的投标人所提出的质疑。</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29.5.5投标人组成联合体参加投标，联合体中任何一方或多方未按要求签字、盖章、加盖公章的质疑。</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29.7质疑</w:t>
      </w:r>
      <w:r>
        <w:rPr>
          <w:rFonts w:hint="eastAsia" w:ascii="宋体" w:hAnsi="宋体" w:eastAsia="宋体" w:cs="宋体"/>
          <w:b w:val="0"/>
          <w:bCs/>
          <w:color w:val="000000"/>
          <w:sz w:val="24"/>
          <w:highlight w:val="none"/>
          <w:lang w:eastAsia="zh-CN"/>
        </w:rPr>
        <w:t xml:space="preserve">投标人</w:t>
      </w:r>
      <w:r>
        <w:rPr>
          <w:rFonts w:hint="eastAsia" w:ascii="宋体" w:hAnsi="宋体" w:eastAsia="宋体" w:cs="宋体"/>
          <w:b w:val="0"/>
          <w:bCs/>
          <w:color w:val="000000"/>
          <w:sz w:val="24"/>
          <w:highlight w:val="none"/>
        </w:rPr>
        <w:t xml:space="preserve">对采购人、采购代理机构的答复不满意，或者采购人、采购代理机构未在规定时间内作出答复的，可以在答复期满后15个工作日内向同级财政部门提起投诉。</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30、投诉</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对答复不满意或采购人、采购代理机构未在规定时间内作出答复的，可在答复期满后15个工作日内向同级财政部门提起投诉。</w:t>
      </w:r>
      <w:r/>
    </w:p>
    <w:p>
      <w:pPr>
        <w:pStyle w:val="873"/>
        <w:jc w:val="center"/>
        <w:spacing w:before="200"/>
        <w:rPr>
          <w:color w:val="000000"/>
          <w:highlight w:val="none"/>
        </w:rPr>
      </w:pPr>
      <w:r/>
      <w:bookmarkStart w:id="117" w:name="EB4d341233595e4bf8ad7006b4bd78d974"/>
      <w:r/>
      <w:bookmarkEnd w:id="117"/>
      <w:r/>
      <w:bookmarkStart w:id="118" w:name="_Toc81575164"/>
      <w:r/>
      <w:bookmarkStart w:id="119" w:name="_Toc81575201"/>
      <w:r/>
      <w:bookmarkStart w:id="120" w:name="_Hlk166141273"/>
      <w:r>
        <w:rPr>
          <w:rFonts w:hint="eastAsia"/>
          <w:color w:val="000000"/>
          <w:highlight w:val="none"/>
        </w:rPr>
        <w:br w:type="page" w:clear="all"/>
      </w:r>
      <w:bookmarkStart w:id="121" w:name="_Toc17996"/>
      <w:r>
        <w:rPr>
          <w:rFonts w:hint="eastAsia" w:ascii="Calibri" w:hAnsi="Calibri" w:eastAsia="宋体" w:cs="Times New Roman"/>
          <w:b/>
          <w:color w:val="000000"/>
          <w:sz w:val="44"/>
          <w:szCs w:val="44"/>
          <w:highlight w:val="none"/>
        </w:rPr>
        <w:t xml:space="preserve">第三章  资格审查及评标</w:t>
      </w:r>
      <w:bookmarkEnd w:id="118"/>
      <w:r/>
      <w:bookmarkEnd w:id="119"/>
      <w:r/>
      <w:bookmarkEnd w:id="121"/>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839"/>
        <w:tblW w:w="8668"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90"/>
        </w:trPr>
        <w:tc>
          <w:tcPr>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资格审查因素</w:t>
            </w:r>
            <w:r/>
          </w:p>
        </w:tc>
        <w:tc>
          <w:tcPr>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rHeight w:val="215"/>
        </w:trPr>
        <w:tc>
          <w:tcPr>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投标声明及承诺函</w:t>
            </w:r>
            <w:r/>
          </w:p>
        </w:tc>
        <w:tc>
          <w:tcPr>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rHeight w:val="336"/>
        </w:trPr>
        <w:tc>
          <w:tcPr>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信用信息</w:t>
            </w:r>
            <w:r/>
          </w:p>
        </w:tc>
        <w:tc>
          <w:tcPr>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rHeight w:val="90"/>
        </w:trPr>
        <w:tc>
          <w:tcPr>
            <w:tcW w:w="4422" w:type="dxa"/>
            <w:vAlign w:val="center"/>
            <w:textDirection w:val="lrTb"/>
            <w:noWrap w:val="false"/>
          </w:tcPr>
          <w:p>
            <w:pPr>
              <w:jc w:val="center"/>
              <w:keepLines w:val="0"/>
              <w:keepNext w:val="0"/>
              <w:pageBreakBefore w:val="0"/>
              <w:spacing w:line="400" w:lineRule="exact"/>
              <w:widowControl w:val="off"/>
              <w:rPr>
                <w:rFonts w:ascii="Times New Roman" w:hAnsi="Times New Roman" w:eastAsia="宋体" w:cs="仿宋"/>
                <w:color w:val="000000"/>
                <w:highlight w:val="none"/>
                <w:lang w:val="en-US" w:eastAsia="zh-CN"/>
              </w:rPr>
            </w:pPr>
            <w:r>
              <w:rPr>
                <w:rFonts w:hint="eastAsia" w:ascii="Times New Roman" w:hAnsi="Times New Roman" w:cs="仿宋"/>
                <w:color w:val="000000"/>
                <w:highlight w:val="none"/>
                <w:lang w:val="en-US" w:eastAsia="zh-CN"/>
              </w:rPr>
              <w:t xml:space="preserve">投标人</w:t>
            </w:r>
            <w:r>
              <w:rPr>
                <w:rFonts w:hint="eastAsia" w:ascii="Times New Roman" w:hAnsi="Times New Roman" w:eastAsia="宋体" w:cs="仿宋"/>
                <w:color w:val="000000"/>
                <w:highlight w:val="none"/>
                <w:lang w:val="en-US" w:eastAsia="zh-CN"/>
              </w:rPr>
              <w:t xml:space="preserve">资质</w:t>
            </w:r>
            <w:r/>
          </w:p>
        </w:tc>
        <w:tc>
          <w:tcPr>
            <w:tcW w:w="4246"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ascii="方正仿宋_GBK" w:eastAsia="方正仿宋_GBK"/>
          <w:color w:val="000000"/>
          <w:sz w:val="24"/>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839"/>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rHeight w:val="90"/>
        </w:trPr>
        <w:tc>
          <w:tcPr>
            <w:tcW w:w="4364" w:type="dxa"/>
            <w:vAlign w:val="center"/>
            <w:textDirection w:val="lrTb"/>
            <w:noWrap w:val="false"/>
          </w:tcPr>
          <w:p>
            <w:pPr>
              <w:jc w:val="center"/>
              <w:rPr>
                <w:rFonts w:ascii="Times New Roman" w:hAnsi="Times New Roman" w:cs="仿宋"/>
                <w:color w:val="000000"/>
                <w:highlight w:val="none"/>
              </w:rPr>
            </w:pPr>
            <w:r>
              <w:rPr>
                <w:rFonts w:hint="eastAsia" w:ascii="宋体" w:hAnsi="宋体" w:eastAsia="宋体" w:cs="宋体"/>
                <w:szCs w:val="22"/>
                <w:highlight w:val="none"/>
              </w:rPr>
              <w:t xml:space="preserve">法定代表人身份证明或授权委托书</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W w:w="4364" w:type="dxa"/>
            <w:vAlign w:val="center"/>
            <w:textDirection w:val="lrTb"/>
            <w:noWrap w:val="false"/>
          </w:tcPr>
          <w:p>
            <w:pPr>
              <w:jc w:val="center"/>
              <w:rPr>
                <w:rFonts w:hint="eastAsia" w:ascii="Times New Roman" w:hAnsi="Times New Roman" w:cs="仿宋"/>
                <w:color w:val="000000"/>
                <w:highlight w:val="none"/>
              </w:rPr>
            </w:pPr>
            <w:r>
              <w:rPr>
                <w:rFonts w:hint="eastAsia" w:ascii="宋体" w:hAnsi="宋体" w:eastAsia="宋体" w:cs="宋体"/>
                <w:szCs w:val="22"/>
                <w:highlight w:val="none"/>
              </w:rPr>
              <w:t xml:space="preserve">开标一览表及投标报价</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宋体" w:hAnsi="宋体" w:eastAsia="宋体" w:cs="宋体"/>
                <w:szCs w:val="22"/>
                <w:highlight w:val="none"/>
              </w:rPr>
              <w:t xml:space="preserve">符合招标文件规定</w:t>
            </w:r>
            <w:r/>
          </w:p>
        </w:tc>
      </w:tr>
      <w:tr>
        <w:trPr/>
        <w:tc>
          <w:tcPr>
            <w:tcW w:w="4364" w:type="dxa"/>
            <w:vAlign w:val="center"/>
            <w:textDirection w:val="lrTb"/>
            <w:noWrap w:val="false"/>
          </w:tcPr>
          <w:p>
            <w:pPr>
              <w:jc w:val="center"/>
              <w:rPr>
                <w:rFonts w:hint="eastAsia" w:ascii="Times New Roman" w:hAnsi="Times New Roman" w:cs="仿宋"/>
                <w:color w:val="000000"/>
                <w:highlight w:val="none"/>
              </w:rPr>
            </w:pPr>
            <w:r>
              <w:rPr>
                <w:rFonts w:hint="eastAsia" w:ascii="宋体" w:hAnsi="宋体" w:eastAsia="宋体" w:cs="宋体"/>
                <w:szCs w:val="22"/>
                <w:highlight w:val="none"/>
              </w:rPr>
              <w:t xml:space="preserve">技术标准和要求</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rHeight w:val="140"/>
        </w:trPr>
        <w:tc>
          <w:tcPr>
            <w:tcW w:w="4364"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其他</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综合评分保留至小数点后两位。评标委员会根据评标后投标人排序推荐中标候选人，并形成评标报告。</w:t>
      </w:r>
      <w:r/>
    </w:p>
    <w:p>
      <w:pPr>
        <w:numPr>
          <w:ilvl w:val="0"/>
          <w:numId w:val="3"/>
        </w:numPr>
        <w:ind w:firstLine="482"/>
        <w:jc w:val="left"/>
        <w:spacing w:line="480" w:lineRule="exact"/>
        <w:rPr>
          <w:rFonts w:ascii="Times New Roman" w:hAnsi="Times New Roman" w:eastAsia="宋体" w:cs="仿宋"/>
          <w:b/>
          <w:bCs/>
          <w:color w:val="000000"/>
          <w:sz w:val="24"/>
          <w:highlight w:val="none"/>
          <w:lang w:val="en-US" w:eastAsia="zh-CN"/>
        </w:rPr>
      </w:pPr>
      <w:r>
        <w:rPr>
          <w:rFonts w:hint="eastAsia" w:ascii="Times New Roman" w:hAnsi="Times New Roman" w:cs="仿宋"/>
          <w:b/>
          <w:bCs/>
          <w:color w:val="000000"/>
          <w:sz w:val="24"/>
          <w:highlight w:val="none"/>
        </w:rPr>
        <w:t xml:space="preserve">评标标准</w:t>
      </w:r>
      <w:r/>
    </w:p>
    <w:tbl>
      <w:tblPr>
        <w:tblStyle w:val="839"/>
        <w:tblW w:w="4999" w:type="pct"/>
        <w:tblInd w:w="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6"/>
        <w:gridCol w:w="1181"/>
        <w:gridCol w:w="6407"/>
      </w:tblGrid>
      <w:tr>
        <w:trPr>
          <w:trHeight w:val="501"/>
        </w:trPr>
        <w:tc>
          <w:tcPr>
            <w:tcW w:w="437"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tcW w:w="710"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分数</w:t>
            </w:r>
            <w:r/>
          </w:p>
        </w:tc>
        <w:tc>
          <w:tcPr>
            <w:tcW w:w="385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trHeight w:val="972"/>
        </w:trPr>
        <w:tc>
          <w:tcPr>
            <w:tcW w:w="437"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报价分</w:t>
            </w:r>
            <w:r/>
          </w:p>
        </w:tc>
        <w:tc>
          <w:tcPr>
            <w:tcW w:w="710"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投标报价得分＝（评标基准价/投标报价）*30。</w:t>
            </w:r>
            <w:r/>
          </w:p>
        </w:tc>
      </w:tr>
      <w:tr>
        <w:trPr/>
        <w:tc>
          <w:tcPr>
            <w:tcW w:w="437"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tc>
        <w:tc>
          <w:tcPr>
            <w:tcW w:w="710"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3852" w:type="pct"/>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投标人自2022年1月1日以来</w:t>
            </w:r>
            <w:r>
              <w:rPr>
                <w:rFonts w:hint="eastAsia" w:ascii="宋体" w:hAnsi="宋体" w:eastAsia="宋体" w:cs="宋体"/>
                <w:color w:val="auto"/>
                <w:sz w:val="21"/>
                <w:szCs w:val="21"/>
                <w:highlight w:val="none"/>
                <w:lang w:val="en-US" w:eastAsia="zh-CN"/>
              </w:rPr>
              <w:t xml:space="preserve">类似业绩的</w:t>
            </w:r>
            <w:r>
              <w:rPr>
                <w:rFonts w:hint="eastAsia" w:ascii="宋体" w:hAnsi="宋体" w:eastAsia="宋体" w:cs="宋体"/>
                <w:color w:val="auto"/>
                <w:sz w:val="21"/>
                <w:szCs w:val="21"/>
                <w:highlight w:val="none"/>
              </w:rPr>
              <w:t xml:space="preserve">，每提供1</w:t>
            </w:r>
            <w:r>
              <w:rPr>
                <w:rFonts w:hint="eastAsia" w:ascii="宋体" w:hAnsi="宋体" w:eastAsia="宋体" w:cs="宋体"/>
                <w:color w:val="auto"/>
                <w:sz w:val="21"/>
                <w:szCs w:val="21"/>
                <w:highlight w:val="none"/>
                <w:lang w:val="en-US" w:eastAsia="zh-CN"/>
              </w:rPr>
              <w:t xml:space="preserve">份</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分。（提供框架协议</w:t>
            </w:r>
            <w:r>
              <w:rPr>
                <w:rFonts w:hint="eastAsia" w:ascii="宋体" w:hAnsi="宋体" w:eastAsia="宋体" w:cs="宋体"/>
                <w:color w:val="auto"/>
                <w:sz w:val="21"/>
                <w:szCs w:val="21"/>
                <w:highlight w:val="none"/>
                <w:lang w:val="en-US" w:eastAsia="zh-CN"/>
              </w:rPr>
              <w:t xml:space="preserve">文本及入围</w:t>
            </w:r>
            <w:r>
              <w:rPr>
                <w:rFonts w:hint="eastAsia" w:ascii="宋体" w:hAnsi="宋体" w:eastAsia="宋体" w:cs="宋体"/>
                <w:color w:val="auto"/>
                <w:sz w:val="21"/>
                <w:szCs w:val="21"/>
                <w:highlight w:val="none"/>
              </w:rPr>
              <w:t xml:space="preserve">中标通知书</w:t>
            </w:r>
            <w:r>
              <w:rPr>
                <w:rFonts w:hint="eastAsia" w:ascii="宋体" w:hAnsi="宋体" w:eastAsia="宋体" w:cs="宋体"/>
                <w:color w:val="auto"/>
                <w:sz w:val="21"/>
                <w:szCs w:val="21"/>
                <w:highlight w:val="none"/>
                <w:lang w:val="en-US" w:eastAsia="zh-CN"/>
              </w:rPr>
              <w:t xml:space="preserve">原件扫描件</w:t>
            </w:r>
            <w:r>
              <w:rPr>
                <w:rFonts w:hint="eastAsia" w:ascii="宋体" w:hAnsi="宋体" w:eastAsia="宋体" w:cs="宋体"/>
                <w:color w:val="auto"/>
                <w:sz w:val="21"/>
                <w:szCs w:val="21"/>
                <w:highlight w:val="none"/>
              </w:rPr>
              <w:t xml:space="preserve">）</w:t>
            </w:r>
            <w:r/>
          </w:p>
        </w:tc>
      </w:tr>
      <w:tr>
        <w:trPr>
          <w:trHeight w:val="2277"/>
        </w:trPr>
        <w:tc>
          <w:tcPr>
            <w:shd w:val="clear" w:color="auto" w:fill="auto"/>
            <w:tcW w:w="437"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技术响应</w:t>
            </w:r>
            <w:r/>
          </w:p>
        </w:tc>
        <w:tc>
          <w:tcPr>
            <w:shd w:val="clear" w:color="auto" w:fill="auto"/>
            <w:tcW w:w="710"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8分</w:t>
            </w:r>
            <w:r/>
          </w:p>
        </w:tc>
        <w:tc>
          <w:tcPr>
            <w:shd w:val="clear" w:color="auto" w:fill="auto"/>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1、依据</w:t>
            </w:r>
            <w:r>
              <w:rPr>
                <w:rFonts w:hint="eastAsia" w:ascii="宋体" w:hAnsi="宋体" w:eastAsia="宋体" w:cs="宋体"/>
                <w:color w:val="auto"/>
                <w:sz w:val="21"/>
                <w:szCs w:val="21"/>
                <w:highlight w:val="none"/>
                <w:lang w:val="en-US" w:eastAsia="zh-CN"/>
              </w:rPr>
              <w:t xml:space="preserve">GB/T30130</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80g胶板印刷纸</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0g</w:t>
            </w:r>
            <w:r>
              <w:rPr>
                <w:rFonts w:hint="eastAsia" w:ascii="宋体" w:hAnsi="宋体" w:eastAsia="宋体" w:cs="宋体"/>
                <w:color w:val="auto"/>
                <w:sz w:val="21"/>
                <w:szCs w:val="21"/>
                <w:highlight w:val="none"/>
                <w:lang w:val="en-US" w:eastAsia="zh-CN"/>
              </w:rPr>
              <w:t xml:space="preserve">木浆</w:t>
            </w:r>
            <w:r>
              <w:rPr>
                <w:rFonts w:hint="eastAsia" w:ascii="宋体" w:hAnsi="宋体" w:eastAsia="宋体" w:cs="宋体"/>
                <w:color w:val="auto"/>
                <w:sz w:val="21"/>
                <w:szCs w:val="21"/>
                <w:highlight w:val="none"/>
              </w:rPr>
              <w:t xml:space="preserve">印刷纸》的标准要求及检验方法，检测项目：</w:t>
            </w:r>
            <w:r>
              <w:rPr>
                <w:rFonts w:hint="eastAsia" w:ascii="宋体" w:hAnsi="宋体" w:eastAsia="宋体" w:cs="宋体"/>
                <w:color w:val="auto"/>
                <w:sz w:val="21"/>
                <w:szCs w:val="21"/>
                <w:highlight w:val="none"/>
                <w:lang w:val="en-US" w:eastAsia="zh-CN"/>
              </w:rPr>
              <w:t xml:space="preserve">定量、厚度偏差、亮度、不透明度、耐着度、平滑度</w:t>
            </w:r>
            <w:r>
              <w:rPr>
                <w:rFonts w:hint="eastAsia" w:ascii="宋体" w:hAnsi="宋体" w:eastAsia="宋体" w:cs="宋体"/>
                <w:color w:val="auto"/>
                <w:sz w:val="21"/>
                <w:szCs w:val="21"/>
                <w:highlight w:val="none"/>
              </w:rPr>
              <w:t xml:space="preserve">，投标人每提供一种符合要求的</w:t>
            </w:r>
            <w:r>
              <w:rPr>
                <w:rFonts w:hint="eastAsia" w:ascii="宋体" w:hAnsi="宋体" w:eastAsia="宋体" w:cs="宋体"/>
                <w:color w:val="auto"/>
                <w:sz w:val="21"/>
                <w:szCs w:val="21"/>
                <w:highlight w:val="none"/>
                <w:lang w:val="en-US" w:eastAsia="zh-CN"/>
              </w:rPr>
              <w:t xml:space="preserve">纸张</w:t>
            </w:r>
            <w:r>
              <w:rPr>
                <w:rFonts w:hint="eastAsia" w:ascii="宋体" w:hAnsi="宋体" w:eastAsia="宋体" w:cs="宋体"/>
                <w:color w:val="auto"/>
                <w:sz w:val="21"/>
                <w:szCs w:val="21"/>
                <w:highlight w:val="none"/>
              </w:rPr>
              <w:t xml:space="preserve">检验报告得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2、投标人提供拟用的油墨产品的绿色环保证明</w:t>
            </w:r>
            <w:r>
              <w:rPr>
                <w:rFonts w:hint="eastAsia" w:ascii="宋体" w:hAnsi="宋体" w:eastAsia="宋体" w:cs="宋体"/>
                <w:color w:val="auto"/>
                <w:sz w:val="21"/>
                <w:szCs w:val="21"/>
                <w:highlight w:val="none"/>
                <w:lang w:val="en-US" w:eastAsia="zh-CN"/>
              </w:rPr>
              <w:t xml:space="preserve">认证证书</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以上</w:t>
            </w:r>
            <w:r>
              <w:rPr>
                <w:rFonts w:hint="eastAsia" w:ascii="宋体" w:hAnsi="宋体" w:eastAsia="宋体" w:cs="宋体"/>
                <w:color w:val="auto"/>
                <w:sz w:val="21"/>
                <w:szCs w:val="21"/>
                <w:highlight w:val="none"/>
              </w:rPr>
              <w:t xml:space="preserve">材料</w:t>
            </w:r>
            <w:r>
              <w:rPr>
                <w:rFonts w:hint="eastAsia" w:ascii="宋体" w:hAnsi="宋体" w:eastAsia="宋体" w:cs="宋体"/>
                <w:color w:val="auto"/>
                <w:sz w:val="21"/>
                <w:szCs w:val="21"/>
                <w:highlight w:val="none"/>
                <w:lang w:val="en-US" w:eastAsia="zh-CN"/>
              </w:rPr>
              <w:t xml:space="preserve">提供原件扫描件</w:t>
            </w:r>
            <w:r>
              <w:rPr>
                <w:rFonts w:hint="eastAsia" w:ascii="宋体" w:hAnsi="宋体" w:eastAsia="宋体" w:cs="宋体"/>
                <w:color w:val="auto"/>
                <w:sz w:val="21"/>
                <w:szCs w:val="21"/>
                <w:highlight w:val="none"/>
              </w:rPr>
              <w:t xml:space="preserve">，未提供不得分。</w:t>
            </w:r>
            <w:r/>
          </w:p>
        </w:tc>
      </w:tr>
      <w:tr>
        <w:trPr/>
        <w:tc>
          <w:tcPr>
            <w:tcW w:w="437"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奖项、荣誉</w:t>
            </w:r>
            <w:r/>
          </w:p>
        </w:tc>
        <w:tc>
          <w:tcPr>
            <w:tcW w:w="710"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2020年至今投标人获得与</w:t>
            </w:r>
            <w:r>
              <w:rPr>
                <w:rFonts w:hint="eastAsia" w:ascii="宋体" w:hAnsi="宋体" w:eastAsia="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rPr>
              <w:t xml:space="preserve">相关的奖项</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每提供一个</w:t>
            </w:r>
            <w:r>
              <w:rPr>
                <w:rFonts w:hint="eastAsia" w:ascii="宋体" w:hAnsi="宋体" w:eastAsia="宋体" w:cs="宋体"/>
                <w:color w:val="auto"/>
                <w:sz w:val="21"/>
                <w:szCs w:val="21"/>
                <w:highlight w:val="none"/>
                <w:lang w:val="en-US" w:eastAsia="zh-CN"/>
              </w:rPr>
              <w:t xml:space="preserve">奖项的得2分，</w:t>
            </w:r>
            <w:r>
              <w:rPr>
                <w:rFonts w:hint="eastAsia" w:ascii="宋体" w:hAnsi="宋体" w:eastAsia="宋体" w:cs="宋体"/>
                <w:color w:val="auto"/>
                <w:sz w:val="21"/>
                <w:szCs w:val="21"/>
                <w:highlight w:val="none"/>
              </w:rPr>
              <w:t xml:space="preserve">最多得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分。注：提供相关证书</w:t>
            </w:r>
            <w:r>
              <w:rPr>
                <w:rFonts w:hint="eastAsia" w:ascii="宋体" w:hAnsi="宋体" w:eastAsia="宋体" w:cs="宋体"/>
                <w:color w:val="auto"/>
                <w:sz w:val="21"/>
                <w:szCs w:val="21"/>
                <w:highlight w:val="none"/>
                <w:lang w:val="en-US" w:eastAsia="zh-CN"/>
              </w:rPr>
              <w:t xml:space="preserve">原件扫描件</w:t>
            </w:r>
            <w:r>
              <w:rPr>
                <w:rFonts w:hint="eastAsia" w:ascii="宋体" w:hAnsi="宋体" w:eastAsia="宋体" w:cs="宋体"/>
                <w:color w:val="auto"/>
                <w:sz w:val="21"/>
                <w:szCs w:val="21"/>
                <w:highlight w:val="none"/>
              </w:rPr>
              <w:t xml:space="preserve">。</w:t>
            </w:r>
            <w:r/>
          </w:p>
        </w:tc>
      </w:tr>
      <w:tr>
        <w:trPr/>
        <w:tc>
          <w:tcPr>
            <w:tcW w:w="437"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项目组人员配备</w:t>
            </w:r>
            <w:r/>
          </w:p>
        </w:tc>
        <w:tc>
          <w:tcPr>
            <w:tcW w:w="710"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投标人对本项目拟派的人员（编辑、排版、设计、校对） 每配备一名得</w:t>
            </w:r>
            <w:r>
              <w:rPr>
                <w:rFonts w:hint="eastAsia" w:ascii="宋体" w:hAnsi="宋体" w:eastAsia="宋体" w:cs="宋体"/>
                <w:color w:val="auto"/>
                <w:sz w:val="21"/>
                <w:szCs w:val="21"/>
                <w:highlight w:val="none"/>
                <w:lang w:val="en-US" w:eastAsia="zh-CN"/>
              </w:rPr>
              <w:t xml:space="preserve">1分，重复配备不重复加分，本项最高得4分。</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投标人对本项目拟派的人员</w:t>
            </w:r>
            <w:r>
              <w:rPr>
                <w:rFonts w:hint="eastAsia" w:ascii="宋体" w:hAnsi="宋体" w:eastAsia="宋体" w:cs="宋体"/>
                <w:color w:val="auto"/>
                <w:sz w:val="21"/>
                <w:szCs w:val="21"/>
                <w:highlight w:val="none"/>
                <w:lang w:val="en-US" w:eastAsia="zh-CN"/>
              </w:rPr>
              <w:t xml:space="preserve">中，每提供一个与本项目相关的奖项得0.5分，本项最高得6分。注：附对应人员投标截止时间前六个月中任意一个月的社保证明材料。</w:t>
            </w:r>
            <w:r/>
          </w:p>
        </w:tc>
      </w:tr>
      <w:tr>
        <w:trPr/>
        <w:tc>
          <w:tcPr>
            <w:tcW w:w="437" w:type="pct"/>
            <w:vAlign w:val="center"/>
            <w:textDirection w:val="lrTb"/>
            <w:noWrap w:val="false"/>
          </w:tcPr>
          <w:p>
            <w:pPr>
              <w:jc w:val="left"/>
              <w:spacing w:line="360" w:lineRule="auto"/>
              <w:rPr>
                <w:rFonts w:hint="eastAsia" w:ascii="宋体" w:hAnsi="宋体" w:eastAsia="宋体" w:cs="宋体"/>
                <w:color w:val="0000ff"/>
                <w:sz w:val="21"/>
                <w:szCs w:val="21"/>
                <w:highlight w:val="none"/>
              </w:rPr>
            </w:pPr>
            <w:r>
              <w:rPr>
                <w:rFonts w:hint="eastAsia" w:ascii="宋体" w:hAnsi="宋体" w:eastAsia="宋体" w:cs="宋体"/>
                <w:color w:val="auto"/>
                <w:sz w:val="21"/>
                <w:szCs w:val="21"/>
                <w:highlight w:val="none"/>
                <w:lang w:val="en-US" w:eastAsia="zh-CN"/>
              </w:rPr>
              <w:t xml:space="preserve">生产能力</w:t>
            </w:r>
            <w:r/>
          </w:p>
        </w:tc>
        <w:tc>
          <w:tcPr>
            <w:tcW w:w="710" w:type="pct"/>
            <w:vAlign w:val="center"/>
            <w:textDirection w:val="lrTb"/>
            <w:noWrap w:val="false"/>
          </w:tcPr>
          <w:p>
            <w:pPr>
              <w:jc w:val="left"/>
              <w:spacing w:line="360" w:lineRule="auto"/>
              <w:rPr>
                <w:rFonts w:hint="default"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lang w:val="en-US" w:eastAsia="zh-CN"/>
              </w:rPr>
              <w:t xml:space="preserve">具</w:t>
            </w:r>
            <w:r>
              <w:rPr>
                <w:rFonts w:hint="eastAsia" w:ascii="宋体" w:hAnsi="宋体" w:eastAsia="宋体" w:cs="宋体"/>
                <w:color w:val="auto"/>
                <w:sz w:val="21"/>
                <w:szCs w:val="21"/>
                <w:highlight w:val="none"/>
              </w:rPr>
              <w:t xml:space="preserve">有满足生产能力及不同批量</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需求：</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w:t>
            </w:r>
            <w:r>
              <w:rPr>
                <w:rFonts w:hint="eastAsia" w:ascii="宋体" w:hAnsi="宋体" w:eastAsia="宋体" w:cs="宋体"/>
                <w:color w:val="auto"/>
                <w:sz w:val="21"/>
                <w:szCs w:val="21"/>
                <w:highlight w:val="none"/>
              </w:rPr>
              <w:t xml:space="preserve">四色胶印机</w:t>
            </w:r>
            <w:r>
              <w:rPr>
                <w:rFonts w:hint="eastAsia" w:ascii="宋体" w:hAnsi="宋体" w:eastAsia="宋体" w:cs="宋体"/>
                <w:color w:val="auto"/>
                <w:sz w:val="21"/>
                <w:szCs w:val="21"/>
                <w:highlight w:val="none"/>
                <w:lang w:val="en-US" w:eastAsia="zh-CN"/>
              </w:rPr>
              <w:t xml:space="preserve">每有一台的得1分，最高得2分；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lang w:val="en-US" w:eastAsia="zh-CN"/>
              </w:rPr>
              <w:t xml:space="preserve">黑白胶印</w:t>
            </w:r>
            <w:r>
              <w:rPr>
                <w:rFonts w:hint="eastAsia" w:ascii="宋体" w:hAnsi="宋体" w:eastAsia="宋体" w:cs="宋体"/>
                <w:color w:val="auto"/>
                <w:sz w:val="21"/>
                <w:szCs w:val="21"/>
                <w:highlight w:val="none"/>
              </w:rPr>
              <w:t xml:space="preserve">机的得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left="0" w:firstLine="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具备高性能五色印刷一体机的得1分；</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具备自动装订一体机的得1分；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具备直接直板机的得0.5分；具备切纸机的得0.5分；具备纸张数纸机的得0.5分；具备打包机的得0.5分。</w:t>
            </w:r>
            <w:r/>
          </w:p>
          <w:p>
            <w:pPr>
              <w:jc w:val="left"/>
              <w:spacing w:line="360" w:lineRule="auto"/>
              <w:rPr>
                <w:rFonts w:hint="eastAsia" w:ascii="宋体" w:hAnsi="宋体" w:eastAsia="宋体" w:cs="宋体"/>
                <w:color w:val="0000ff"/>
                <w:sz w:val="21"/>
                <w:szCs w:val="21"/>
                <w:highlight w:val="none"/>
                <w:lang w:eastAsia="zh-CN"/>
              </w:rPr>
            </w:pPr>
            <w:r>
              <w:rPr>
                <w:rFonts w:hint="eastAsia" w:ascii="宋体" w:hAnsi="宋体" w:eastAsia="宋体" w:cs="宋体"/>
                <w:color w:val="auto"/>
                <w:sz w:val="21"/>
                <w:szCs w:val="21"/>
                <w:highlight w:val="none"/>
              </w:rPr>
              <w:t xml:space="preserve">提供购买发票</w:t>
            </w:r>
            <w:r>
              <w:rPr>
                <w:rFonts w:hint="eastAsia" w:ascii="宋体" w:hAnsi="宋体" w:eastAsia="宋体" w:cs="宋体"/>
                <w:color w:val="auto"/>
                <w:sz w:val="21"/>
                <w:szCs w:val="21"/>
                <w:highlight w:val="none"/>
                <w:lang w:val="en-US" w:eastAsia="zh-CN"/>
              </w:rPr>
              <w:t xml:space="preserve">以及设备图片</w:t>
            </w:r>
            <w:r>
              <w:rPr>
                <w:rFonts w:hint="eastAsia" w:ascii="宋体" w:hAnsi="宋体" w:eastAsia="宋体" w:cs="宋体"/>
                <w:color w:val="auto"/>
                <w:sz w:val="21"/>
                <w:szCs w:val="21"/>
                <w:highlight w:val="none"/>
                <w:lang w:eastAsia="zh-CN"/>
              </w:rPr>
              <w:t xml:space="preserve">。</w:t>
            </w:r>
            <w:r/>
          </w:p>
        </w:tc>
      </w:tr>
      <w:tr>
        <w:trPr/>
        <w:tc>
          <w:tcPr>
            <w:tcW w:w="437"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环境标志、节能产品</w:t>
            </w:r>
            <w:r/>
          </w:p>
        </w:tc>
        <w:tc>
          <w:tcPr>
            <w:tcW w:w="710"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内的认证机构出具的、有效期内的该产品环境标志产品认证证书电子件的得0.5分。未提供的不得分。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r/>
          </w:p>
        </w:tc>
      </w:tr>
      <w:tr>
        <w:trPr>
          <w:trHeight w:val="312"/>
        </w:trPr>
        <w:tc>
          <w:tcPr>
            <w:tcW w:w="437" w:type="pct"/>
            <w:vAlign w:val="center"/>
            <w:textDirection w:val="lrTb"/>
            <w:noWrap w:val="false"/>
          </w:tcPr>
          <w:p>
            <w:pPr>
              <w:jc w:val="left"/>
              <w:spacing w:line="360" w:lineRule="auto"/>
              <w:tabs>
                <w:tab w:val="center" w:pos="966"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综合实力</w:t>
            </w:r>
            <w:r/>
          </w:p>
        </w:tc>
        <w:tc>
          <w:tcPr>
            <w:tcW w:w="710"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具备认证单元为“平装书”的中国环境标志产品认证证书（须同时提供与证书主体一致的，内容包含但不限于纸张、油墨、润版液原材料的认证附件）得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具备认证单元为“骑马订书”中国环境标志产品认证证书（须同时提供与证书主体一致的，内容包含但不限于纸张、油墨、润版液原材料的认证附件）得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具备ISO9001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14001</w:t>
            </w:r>
            <w:r>
              <w:rPr>
                <w:rFonts w:hint="eastAsia" w:ascii="宋体" w:hAnsi="宋体" w:eastAsia="宋体" w:cs="宋体"/>
                <w:color w:val="auto"/>
                <w:sz w:val="21"/>
                <w:szCs w:val="21"/>
                <w:highlight w:val="none"/>
              </w:rPr>
              <w:t xml:space="preserve">质量认证体系证书的得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437"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运输能力</w:t>
            </w:r>
            <w:r/>
          </w:p>
        </w:tc>
        <w:tc>
          <w:tcPr>
            <w:tcW w:w="710"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3852"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投标人提供全封闭式运输</w:t>
            </w:r>
            <w:r>
              <w:rPr>
                <w:rFonts w:hint="eastAsia" w:ascii="宋体" w:hAnsi="宋体" w:eastAsia="宋体" w:cs="宋体"/>
                <w:color w:val="auto"/>
                <w:sz w:val="21"/>
                <w:szCs w:val="21"/>
                <w:highlight w:val="none"/>
              </w:rPr>
              <w:t xml:space="preserve">车辆</w:t>
            </w:r>
            <w:r>
              <w:rPr>
                <w:rFonts w:hint="eastAsia" w:ascii="宋体" w:hAnsi="宋体" w:eastAsia="宋体" w:cs="宋体"/>
                <w:color w:val="auto"/>
                <w:sz w:val="21"/>
                <w:szCs w:val="21"/>
                <w:highlight w:val="none"/>
                <w:lang w:val="en-US" w:eastAsia="zh-CN"/>
              </w:rPr>
              <w:t xml:space="preserve">每有一辆</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2分，最高得4分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需提供车辆购置发票</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行驶证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不提供或提供不全均不得分。</w:t>
            </w:r>
            <w:r/>
          </w:p>
        </w:tc>
      </w:tr>
      <w:tr>
        <w:trPr/>
        <w:tc>
          <w:tcPr>
            <w:tcW w:w="437"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项目实施方案</w:t>
            </w:r>
            <w:r/>
          </w:p>
        </w:tc>
        <w:tc>
          <w:tcPr>
            <w:tcW w:w="710"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投标人根据招标文件“第四章、采购需求</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、服务技术要求—（三）项目实施要求”制定方案。</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方案详尽周密，具备优化创新，对项目实施难点有深入分析及高效解决方案，优于采购需求得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方案内容详细，流程规划清晰合理，关键环节考量具体，具备</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强可操作性</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方案涵盖项目实施主要方面，满足基本需求，但内容较为常规，</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满足采购需求的得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方案内容简略笼统，缺乏具体实施细节，能满足项目实施需要的得1分；没有内容不得分。</w:t>
            </w:r>
            <w:r/>
          </w:p>
        </w:tc>
      </w:tr>
      <w:tr>
        <w:trPr/>
        <w:tc>
          <w:tcPr>
            <w:tcW w:w="43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保密方案</w:t>
            </w:r>
            <w:r/>
          </w:p>
        </w:tc>
        <w:tc>
          <w:tcPr>
            <w:tcW w:w="710"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投标人根据招标文件“第四章、采购需求二、服务技术要求—（三）保密方案要求”制定方案。</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方案体系健全，措施严格且具前瞻性，能精准识别泄密风险并建立高效应对机制，</w:t>
            </w:r>
            <w:r>
              <w:rPr>
                <w:rFonts w:hint="eastAsia" w:ascii="宋体" w:hAnsi="宋体" w:eastAsia="宋体" w:cs="宋体"/>
                <w:color w:val="auto"/>
                <w:sz w:val="21"/>
                <w:szCs w:val="21"/>
                <w:highlight w:val="none"/>
                <w:lang w:val="en-US" w:eastAsia="zh-CN"/>
              </w:rPr>
              <w:t xml:space="preserve">优于</w:t>
            </w: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得5分；</w:t>
            </w:r>
            <w:r/>
          </w:p>
          <w:p>
            <w:pPr>
              <w:jc w:val="left"/>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方案措施明确具体，覆盖关键保密环节，流程设计严谨</w:t>
            </w:r>
            <w:r>
              <w:rPr>
                <w:rFonts w:hint="eastAsia" w:ascii="宋体" w:hAnsi="宋体" w:eastAsia="宋体" w:cs="宋体"/>
                <w:color w:val="auto"/>
                <w:sz w:val="21"/>
                <w:szCs w:val="21"/>
                <w:highlight w:val="none"/>
                <w:lang w:val="en-US" w:eastAsia="zh-CN"/>
              </w:rPr>
              <w:t xml:space="preserve">的得4分；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方案包含基本保密规定与措施，能满足采购方基本保密要求的得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方案内容过于简略，缺乏具体的执行标准和管控流程的得1分；没有内容不得分。</w:t>
            </w:r>
            <w:r/>
          </w:p>
        </w:tc>
      </w:tr>
      <w:tr>
        <w:trPr/>
        <w:tc>
          <w:tcPr>
            <w:tcW w:w="43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应急保障方案</w:t>
            </w:r>
            <w:r/>
          </w:p>
        </w:tc>
        <w:tc>
          <w:tcPr>
            <w:tcW w:w="710"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投标人根据招标文件“第四章、采购需求二、服务技术要求—（三）</w:t>
            </w:r>
            <w:r>
              <w:rPr>
                <w:rFonts w:hint="eastAsia" w:ascii="宋体" w:hAnsi="宋体" w:eastAsia="宋体" w:cs="宋体"/>
                <w:color w:val="auto"/>
                <w:sz w:val="21"/>
                <w:szCs w:val="21"/>
                <w:highlight w:val="none"/>
                <w:lang w:val="en-US" w:eastAsia="zh-CN"/>
              </w:rPr>
              <w:t xml:space="preserve">应急预案</w:t>
            </w:r>
            <w:r>
              <w:rPr>
                <w:rFonts w:hint="eastAsia" w:ascii="宋体" w:hAnsi="宋体" w:eastAsia="宋体" w:cs="宋体"/>
                <w:color w:val="auto"/>
                <w:sz w:val="21"/>
                <w:szCs w:val="21"/>
                <w:highlight w:val="none"/>
              </w:rPr>
              <w:t xml:space="preserve">要求”制定方案。</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方案内容详尽周密，应急体系健全完善。对各类潜在风险预判全面，响应机制科学、高效，职责清晰</w:t>
            </w:r>
            <w:r>
              <w:rPr>
                <w:rFonts w:hint="eastAsia" w:ascii="宋体" w:hAnsi="宋体" w:eastAsia="宋体" w:cs="宋体"/>
                <w:color w:val="auto"/>
                <w:sz w:val="21"/>
                <w:szCs w:val="21"/>
                <w:highlight w:val="none"/>
                <w:lang w:val="en-US" w:eastAsia="zh-CN"/>
              </w:rPr>
              <w:t xml:space="preserve">优于采购需求</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方案内容详细，对主要风险有较好的识别和应对流程，措施具体，具备良好的可操作性，能够有效应对突发事件的得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方案内容涵盖了应急流程和措施，能够满足</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基本要求的得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方案内容简单，罗列了部分应急事项，缺乏系统性的流程和具体的处置办法的得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分；没有内容不得分。</w:t>
            </w:r>
            <w:r/>
          </w:p>
        </w:tc>
      </w:tr>
      <w:tr>
        <w:trPr>
          <w:trHeight w:val="4379"/>
        </w:trPr>
        <w:tc>
          <w:tcPr>
            <w:tcW w:w="43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供货保障方案</w:t>
            </w:r>
            <w:r/>
          </w:p>
        </w:tc>
        <w:tc>
          <w:tcPr>
            <w:tcW w:w="710"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投标人根据招标文件“第四章、采购需求二、服务技术要求—（三）供货保障要求”制定方案。</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方案内容详尽周密，供货保障体系坚固可靠。对供应链各环节有精准把控，具备多重备份和应急渠道，响应机制敏捷，</w:t>
            </w:r>
            <w:r>
              <w:rPr>
                <w:rFonts w:hint="eastAsia" w:ascii="宋体" w:hAnsi="宋体" w:eastAsia="宋体" w:cs="宋体"/>
                <w:color w:val="auto"/>
                <w:sz w:val="21"/>
                <w:szCs w:val="21"/>
                <w:highlight w:val="none"/>
                <w:lang w:val="en-US" w:eastAsia="zh-CN"/>
              </w:rPr>
              <w:t xml:space="preserve">优于采购需求的得5分；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方案内容详细，对供货流程、周期和应急措施有清晰合理的规划，能够有效满足供货保障要求的得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方案内容包含了基本的供货计划和保障措施，能够满足采购的基本要求的得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方案内容过于简略，供货计划模糊，</w:t>
            </w:r>
            <w:r>
              <w:rPr>
                <w:rFonts w:hint="eastAsia" w:ascii="宋体" w:hAnsi="宋体" w:eastAsia="宋体" w:cs="宋体"/>
                <w:color w:val="auto"/>
                <w:sz w:val="21"/>
                <w:szCs w:val="21"/>
                <w:highlight w:val="none"/>
                <w:lang w:val="en-US" w:eastAsia="zh-CN"/>
              </w:rPr>
              <w:t xml:space="preserve">缺少</w:t>
            </w:r>
            <w:r>
              <w:rPr>
                <w:rFonts w:hint="eastAsia" w:ascii="宋体" w:hAnsi="宋体" w:eastAsia="宋体" w:cs="宋体"/>
                <w:color w:val="auto"/>
                <w:sz w:val="21"/>
                <w:szCs w:val="21"/>
                <w:highlight w:val="none"/>
              </w:rPr>
              <w:t xml:space="preserve">保障措施和应急手段的得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。没有内容不得分。</w:t>
            </w:r>
            <w:r/>
          </w:p>
        </w:tc>
      </w:tr>
    </w:tbl>
    <w:p>
      <w:pPr>
        <w:pStyle w:val="866"/>
        <w:ind w:left="0" w:firstLine="0"/>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22" w:name="_Toc2916"/>
      <w:r/>
      <w:bookmarkStart w:id="123" w:name="_Toc22314"/>
      <w:r/>
      <w:bookmarkStart w:id="124" w:name="_Toc81575168"/>
      <w:r/>
      <w:bookmarkStart w:id="125" w:name="_Toc12255"/>
      <w:r/>
      <w:bookmarkStart w:id="126" w:name="_Toc81575205"/>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20"/>
      <w:r/>
      <w:bookmarkEnd w:id="122"/>
      <w:r/>
      <w:bookmarkEnd w:id="123"/>
      <w:r/>
      <w:bookmarkEnd w:id="124"/>
      <w:r/>
      <w:bookmarkEnd w:id="125"/>
      <w:r/>
      <w:bookmarkEnd w:id="126"/>
      <w:r/>
      <w:r/>
    </w:p>
    <w:tbl>
      <w:tblPr>
        <w:tblStyle w:val="8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8"/>
        <w:gridCol w:w="5178"/>
      </w:tblGrid>
      <w:tr>
        <w:trPr>
          <w:cantSplit/>
          <w:jc w:val="center"/>
        </w:trPr>
        <w:tc>
          <w:tcPr>
            <w:tcW w:w="2838" w:type="dxa"/>
            <w:vAlign w:val="center"/>
            <w:textDirection w:val="lrTb"/>
            <w:noWrap w:val="false"/>
          </w:tcPr>
          <w:p>
            <w:pPr>
              <w:jc w:val="center"/>
              <w:spacing w:line="3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序号</w:t>
            </w:r>
            <w:r/>
          </w:p>
        </w:tc>
        <w:tc>
          <w:tcPr>
            <w:tcW w:w="5178" w:type="dxa"/>
            <w:vAlign w:val="center"/>
            <w:textDirection w:val="lrTb"/>
            <w:noWrap w:val="false"/>
          </w:tcPr>
          <w:p>
            <w:pPr>
              <w:ind w:firstLine="48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p>
        </w:tc>
      </w:tr>
      <w:tr>
        <w:trPr>
          <w:cantSplit/>
          <w:jc w:val="center"/>
          <w:trHeight w:val="291"/>
        </w:trPr>
        <w:tc>
          <w:tcPr>
            <w:tcW w:w="2838" w:type="dxa"/>
            <w:vAlign w:val="top"/>
            <w:textDirection w:val="lrTb"/>
            <w:noWrap w:val="false"/>
          </w:tcPr>
          <w:p>
            <w:pPr>
              <w:jc w:val="center"/>
              <w:spacing w:line="480" w:lineRule="exact"/>
              <w:tabs>
                <w:tab w:val="left" w:pos="2020" w:leader="none"/>
              </w:tabs>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p>
        </w:tc>
        <w:tc>
          <w:tcPr>
            <w:tcW w:w="5178" w:type="dxa"/>
            <w:vAlign w:val="top"/>
            <w:textDirection w:val="lrTb"/>
            <w:noWrap w:val="false"/>
          </w:tcPr>
          <w:p>
            <w:pPr>
              <w:ind w:firstLine="0"/>
              <w:jc w:val="center"/>
              <w:keepLines w:val="0"/>
              <w:keepNext w:val="0"/>
              <w:pageBreakBefore w:val="0"/>
              <w:spacing w:line="480" w:lineRule="exact"/>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工业</w:t>
            </w:r>
            <w:r/>
          </w:p>
        </w:tc>
      </w:tr>
    </w:tbl>
    <w:p>
      <w:pPr>
        <w:ind w:firstLine="562"/>
        <w:spacing w:line="360" w:lineRule="auto"/>
        <w:rPr>
          <w:rFonts w:hint="eastAsia" w:ascii="宋体" w:hAnsi="宋体" w:eastAsia="宋体" w:cs="宋体"/>
          <w:b/>
          <w:sz w:val="28"/>
          <w:szCs w:val="28"/>
          <w:highlight w:val="none"/>
        </w:rPr>
      </w:pPr>
      <w:r/>
      <w:bookmarkStart w:id="127" w:name="_Toc31499"/>
      <w:r/>
      <w:bookmarkStart w:id="128" w:name="_Toc81575169"/>
      <w:r/>
      <w:bookmarkStart w:id="129" w:name="_Toc22098"/>
      <w:r/>
      <w:bookmarkStart w:id="130" w:name="_Toc2513"/>
      <w:r/>
      <w:bookmarkStart w:id="131" w:name="_Toc81575206"/>
      <w:r>
        <w:rPr>
          <w:rFonts w:hint="eastAsia" w:ascii="宋体" w:hAnsi="宋体" w:eastAsia="宋体" w:cs="宋体"/>
          <w:b/>
          <w:sz w:val="28"/>
          <w:szCs w:val="28"/>
          <w:highlight w:val="none"/>
        </w:rPr>
        <w:t xml:space="preserve">一、项目概况</w:t>
      </w:r>
      <w:r/>
    </w:p>
    <w:p>
      <w:pPr>
        <w:ind w:firstLine="482"/>
        <w:jc w:val="lef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（一）项目名称</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泗洪县初中学段教育调研定制纸品采购项目</w:t>
      </w:r>
      <w:r/>
    </w:p>
    <w:p>
      <w:pPr>
        <w:ind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（二）采购内容：</w:t>
      </w:r>
      <w:r>
        <w:rPr>
          <w:rFonts w:hint="eastAsia" w:ascii="宋体" w:hAnsi="宋体" w:eastAsia="宋体" w:cs="宋体"/>
          <w:sz w:val="24"/>
          <w:szCs w:val="24"/>
          <w:highlight w:val="none"/>
          <w:lang w:val="en-US" w:eastAsia="zh-CN" w:bidi="ar-SA"/>
        </w:rPr>
        <w:t xml:space="preserve">泗洪县教育局采购初中学段基础教育调研所需纸品，主要是按要求制作完成并封装到位的各类纸品。预算金额</w:t>
      </w:r>
      <w:r>
        <w:rPr>
          <w:rFonts w:hint="eastAsia" w:ascii="宋体" w:hAnsi="宋体" w:cs="宋体"/>
          <w:sz w:val="24"/>
          <w:szCs w:val="24"/>
          <w:highlight w:val="yellow"/>
          <w:lang w:val="en-US" w:eastAsia="zh-CN" w:bidi="ar-SA"/>
        </w:rPr>
        <w:t xml:space="preserve">401.227032</w:t>
      </w:r>
      <w:r>
        <w:rPr>
          <w:rFonts w:hint="eastAsia" w:ascii="宋体" w:hAnsi="宋体" w:eastAsia="宋体" w:cs="宋体"/>
          <w:sz w:val="24"/>
          <w:szCs w:val="24"/>
          <w:highlight w:val="yellow"/>
          <w:lang w:val="en-US" w:eastAsia="zh-CN" w:bidi="ar-SA"/>
        </w:rPr>
        <w:t xml:space="preserve">万元</w:t>
      </w:r>
      <w:r>
        <w:rPr>
          <w:rFonts w:hint="eastAsia" w:ascii="宋体" w:hAnsi="宋体" w:eastAsia="宋体" w:cs="宋体"/>
          <w:sz w:val="24"/>
          <w:szCs w:val="24"/>
          <w:highlight w:val="none"/>
          <w:lang w:val="en-US" w:eastAsia="zh-CN" w:bidi="ar-SA"/>
        </w:rPr>
        <w:t xml:space="preserve">。</w:t>
      </w:r>
      <w:r/>
    </w:p>
    <w:p>
      <w:pPr>
        <w:ind w:firstLine="482"/>
        <w:jc w:val="both"/>
        <w:spacing w:line="360" w:lineRule="auto"/>
        <w:widowControl w:val="off"/>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（三）最高限价：</w:t>
      </w:r>
      <w:r>
        <w:rPr>
          <w:rFonts w:hint="eastAsia" w:ascii="宋体" w:hAnsi="宋体" w:eastAsia="宋体" w:cs="宋体"/>
          <w:b/>
          <w:bCs/>
          <w:sz w:val="24"/>
          <w:szCs w:val="24"/>
          <w:highlight w:val="none"/>
          <w:lang w:val="en-US" w:eastAsia="zh-CN" w:bidi="ar-SA"/>
        </w:rPr>
        <w:t xml:space="preserve">综合单价</w:t>
      </w:r>
      <w:r>
        <w:rPr>
          <w:rFonts w:hint="eastAsia" w:ascii="宋体" w:hAnsi="宋体" w:eastAsia="宋体" w:cs="宋体"/>
          <w:b/>
          <w:bCs/>
          <w:sz w:val="24"/>
          <w:szCs w:val="24"/>
          <w:highlight w:val="yellow"/>
          <w:lang w:val="en-US" w:eastAsia="zh-CN" w:bidi="ar-SA"/>
        </w:rPr>
        <w:t xml:space="preserve">137304.94</w:t>
      </w:r>
      <w:r>
        <w:rPr>
          <w:rFonts w:hint="eastAsia" w:ascii="宋体" w:hAnsi="宋体" w:eastAsia="宋体" w:cs="宋体"/>
          <w:b/>
          <w:bCs/>
          <w:sz w:val="24"/>
          <w:szCs w:val="24"/>
          <w:highlight w:val="none"/>
          <w:lang w:val="en-US" w:eastAsia="zh-CN" w:bidi="ar-SA"/>
        </w:rPr>
        <w:t xml:space="preserve">元</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每个品种的单价为最高限价，高于每项单价的为无效标。</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预付款：签订合同并收到中标单位发票10个工作日内支付第一年合同价款的30%；</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进度款：每次项目完成，收到中标单位发票10个工作日内，支付至当次合同价款(单价×实际完成数量)的100%。（合同款支付方式可采用数字人民币支付）</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资金支付的时间：收到中标单位发票10个工作日内；</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资金支付的条件：满足相应阶段的要求且收到中标单位发票；</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注：在签订合同时，中标单位明确表示无需预付款或者主动要求降低预付款比例的金额，采购人可不适用前述规定。</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二、服务技术要求</w:t>
      </w:r>
      <w:r/>
    </w:p>
    <w:p>
      <w:pPr>
        <w:ind w:firstLine="482"/>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采购清单</w:t>
      </w:r>
      <w:r/>
    </w:p>
    <w:tbl>
      <w:tblPr>
        <w:tblStyle w:val="839"/>
        <w:tblW w:w="8575" w:type="dxa"/>
        <w:tblInd w:w="-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2"/>
        <w:gridCol w:w="1322"/>
        <w:gridCol w:w="686"/>
        <w:gridCol w:w="1806"/>
        <w:gridCol w:w="1233"/>
        <w:gridCol w:w="1769"/>
        <w:gridCol w:w="1097"/>
      </w:tblGrid>
      <w:tr>
        <w:trPr>
          <w:trHeight w:val="629"/>
        </w:trPr>
        <w:tc>
          <w:tcPr>
            <w:shd w:val="clear" w:color="auto" w:fill="auto"/>
            <w:tcW w:w="6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13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W w:w="6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auto"/>
            <w:tcW w:w="1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技术要求</w:t>
            </w:r>
            <w:r/>
          </w:p>
        </w:tc>
        <w:tc>
          <w:tcPr>
            <w:shd w:val="clear" w:color="auto" w:fill="auto"/>
            <w:tcW w:w="12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三年预计采购数量</w:t>
            </w:r>
            <w:r/>
          </w:p>
        </w:tc>
        <w:tc>
          <w:tcPr>
            <w:shd w:val="clear" w:color="auto" w:fill="auto"/>
            <w:tcW w:w="17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最高</w:t>
            </w: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cs="宋体"/>
                <w:i w:val="0"/>
                <w:iCs w:val="0"/>
                <w:color w:val="000000"/>
                <w:sz w:val="21"/>
                <w:szCs w:val="21"/>
                <w:u w:val="none"/>
                <w:lang w:val="en-US" w:eastAsia="zh-CN" w:bidi="ar"/>
              </w:rPr>
              <w:t xml:space="preserve">限价</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rPr>
              <w:t xml:space="preserve">）</w:t>
            </w:r>
            <w:r/>
          </w:p>
        </w:tc>
        <w:tc>
          <w:tcPr>
            <w:shd w:val="clear" w:color="auto" w:fill="auto"/>
            <w:tcW w:w="10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备注</w:t>
            </w:r>
            <w:r/>
          </w:p>
        </w:tc>
      </w:tr>
      <w:tr>
        <w:trPr>
          <w:trHeight w:val="600"/>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sz w:val="24"/>
                <w:szCs w:val="24"/>
                <w:lang w:eastAsia="zh-CN"/>
              </w:rPr>
              <mc:AlternateContent>
                <mc:Choice Requires="wpg">
                  <w:drawing>
                    <wp:inline xmlns:wp="http://schemas.openxmlformats.org/drawingml/2006/wordprocessingDrawing" distT="0" distB="0" distL="0" distR="0">
                      <wp:extent cx="127000" cy="127000"/>
                      <wp:effectExtent l="0" t="0" r="6350" b="6350"/>
                      <wp:docPr id="5" name="图片 6" descr="正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正圆"/>
                              <pic:cNvPicPr>
                                <a:picLocks noChangeAspect="1"/>
                              </pic:cNvPicPr>
                              <pic:nvPr/>
                            </pic:nvPicPr>
                            <pic:blipFill>
                              <a:blip r:embed="rId16"/>
                              <a:stretch/>
                            </pic:blipFill>
                            <pic:spPr bwMode="auto">
                              <a:xfrm>
                                <a:off x="0" y="0"/>
                                <a:ext cx="127000" cy="127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0pt;height:10.0pt;mso-wrap-distance-left:0.0pt;mso-wrap-distance-top:0.0pt;mso-wrap-distance-right:0.0pt;mso-wrap-distance-bottom:0.0pt;" stroked="false">
                      <v:path textboxrect="0,0,0,0"/>
                      <v:imagedata r:id="rId16" o:title=""/>
                    </v:shape>
                  </w:pict>
                </mc:Fallback>
              </mc:AlternateContent>
            </w:r>
            <w:r>
              <w:rPr>
                <w:rFonts w:hint="eastAsia" w:ascii="宋体" w:hAnsi="宋体" w:eastAsia="宋体" w:cs="宋体"/>
                <w:i w:val="0"/>
                <w:iCs w:val="0"/>
                <w:color w:val="000000"/>
                <w:sz w:val="21"/>
                <w:szCs w:val="21"/>
                <w:u w:val="none"/>
                <w:lang w:val="en-US" w:eastAsia="zh-CN" w:bidi="ar"/>
              </w:rPr>
              <w:t xml:space="preserve">期末纸品</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8K</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60g木浆纸，双面印刷</w:t>
            </w:r>
            <w:r/>
          </w:p>
        </w:tc>
        <w:tc>
          <w:tcPr>
            <w:shd w:val="clear" w:color="auto" w:fill="auto"/>
            <w:tcW w:w="1233" w:type="dxa"/>
            <w:vAlign w:val="center"/>
            <w:textDirection w:val="lrTb"/>
            <w:noWrap w:val="false"/>
          </w:tcPr>
          <w:p>
            <w:pPr>
              <w:ind w:firstLine="21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8280995</w:t>
            </w:r>
            <w:r/>
          </w:p>
        </w:tc>
        <w:tc>
          <w:tcPr>
            <w:shd w:val="clear" w:color="auto" w:fill="auto"/>
            <w:tcW w:w="176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0.13 </w:t>
            </w:r>
            <w:r/>
          </w:p>
        </w:tc>
        <w:tc>
          <w:tcPr>
            <w:shd w:val="clear" w:color="auto" w:fill="auto"/>
            <w:tcW w:w="1097"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期末纸品</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16K</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60g木浆纸，双面印刷</w:t>
            </w:r>
            <w:r/>
          </w:p>
        </w:tc>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4528086</w:t>
            </w:r>
            <w:r/>
          </w:p>
        </w:tc>
        <w:tc>
          <w:tcPr>
            <w:shd w:val="clear" w:color="auto" w:fill="auto"/>
            <w:tcW w:w="176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0.12</w:t>
            </w:r>
            <w:r/>
          </w:p>
        </w:tc>
        <w:tc>
          <w:tcPr>
            <w:shd w:val="clear" w:color="auto" w:fill="auto"/>
            <w:tcW w:w="109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20"/>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答题卡</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80g双胶纸，双面印刷</w:t>
            </w:r>
            <w:r/>
          </w:p>
        </w:tc>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4010001</w:t>
            </w:r>
            <w:r/>
          </w:p>
        </w:tc>
        <w:tc>
          <w:tcPr>
            <w:shd w:val="clear" w:color="auto" w:fill="auto"/>
            <w:tcW w:w="1769"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0.13</w:t>
            </w:r>
            <w:r/>
          </w:p>
        </w:tc>
        <w:tc>
          <w:tcPr>
            <w:shd w:val="clear" w:color="auto" w:fill="auto"/>
            <w:tcW w:w="109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0"/>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答题卡</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A3</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80g双胶纸，双面印刷</w:t>
            </w:r>
            <w:r/>
          </w:p>
        </w:tc>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2396597</w:t>
            </w:r>
            <w:r/>
          </w:p>
        </w:tc>
        <w:tc>
          <w:tcPr>
            <w:shd w:val="clear" w:color="auto" w:fill="auto"/>
            <w:tcW w:w="176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0.35</w:t>
            </w:r>
            <w:r/>
          </w:p>
        </w:tc>
        <w:tc>
          <w:tcPr>
            <w:shd w:val="clear" w:color="auto" w:fill="auto"/>
            <w:tcW w:w="109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60"/>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纸张袋</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16K</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80g牛皮纸1.方底、压痕。2.双舌头。3.纸张袋上印考试相关信息</w:t>
            </w:r>
            <w:r/>
          </w:p>
        </w:tc>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150936</w:t>
            </w:r>
            <w:r/>
          </w:p>
        </w:tc>
        <w:tc>
          <w:tcPr>
            <w:shd w:val="clear" w:color="auto" w:fill="auto"/>
            <w:tcW w:w="176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0.9</w:t>
            </w:r>
            <w:r/>
          </w:p>
        </w:tc>
        <w:tc>
          <w:tcPr>
            <w:shd w:val="clear" w:color="auto" w:fill="auto"/>
            <w:tcW w:w="109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6"/>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纸张袋</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8K</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80g牛皮纸1.方底、压痕。2.双舌头。3.纸张袋上印考试相关信息</w:t>
            </w:r>
            <w:r/>
          </w:p>
        </w:tc>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276033</w:t>
            </w:r>
            <w:r/>
          </w:p>
        </w:tc>
        <w:tc>
          <w:tcPr>
            <w:shd w:val="clear" w:color="auto" w:fill="auto"/>
            <w:tcW w:w="176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0.9</w:t>
            </w:r>
            <w:r/>
          </w:p>
        </w:tc>
        <w:tc>
          <w:tcPr>
            <w:shd w:val="clear" w:color="auto" w:fill="auto"/>
            <w:tcW w:w="1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30份/袋</w:t>
            </w:r>
            <w:r/>
          </w:p>
        </w:tc>
      </w:tr>
      <w:tr>
        <w:trPr>
          <w:trHeight w:val="446"/>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答题卡袋</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A4</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120g牛皮纸1.方底、压痕。2.双舌头。3.纸张袋上印考试相关信息</w:t>
            </w:r>
            <w:r/>
          </w:p>
        </w:tc>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133667</w:t>
            </w:r>
            <w:r/>
          </w:p>
        </w:tc>
        <w:tc>
          <w:tcPr>
            <w:shd w:val="clear" w:color="auto" w:fill="auto"/>
            <w:tcW w:w="176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0.81</w:t>
            </w:r>
            <w:r/>
          </w:p>
        </w:tc>
        <w:tc>
          <w:tcPr>
            <w:shd w:val="clear" w:color="auto" w:fill="auto"/>
            <w:tcW w:w="1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30份/袋</w:t>
            </w:r>
            <w:r/>
          </w:p>
        </w:tc>
      </w:tr>
      <w:tr>
        <w:trPr>
          <w:trHeight w:val="446"/>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答题卡袋</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A3</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120g牛皮纸1.方底、压痕。2.双舌头。3.纸张袋上印考试相关信息</w:t>
            </w:r>
            <w:r/>
          </w:p>
        </w:tc>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79887</w:t>
            </w:r>
            <w:r/>
          </w:p>
        </w:tc>
        <w:tc>
          <w:tcPr>
            <w:shd w:val="clear" w:color="auto" w:fill="auto"/>
            <w:tcW w:w="176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1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30份/袋</w:t>
            </w:r>
            <w:r/>
          </w:p>
        </w:tc>
      </w:tr>
      <w:tr>
        <w:trPr>
          <w:gridAfter w:val="1"/>
          <w:trHeight w:val="446"/>
        </w:trPr>
        <w:tc>
          <w:tcPr>
            <w:gridSpan w:val="6"/>
            <w:shd w:val="clear" w:color="auto" w:fill="auto"/>
            <w:tcW w:w="7478" w:type="dxa"/>
            <w:vAlign w:val="center"/>
            <w:textDirection w:val="lrTb"/>
            <w:noWrap w:val="false"/>
          </w:tcPr>
          <w:p>
            <w:pPr>
              <w:ind w:left="0" w:right="0"/>
              <w:jc w:val="center"/>
              <w:keepLines w:val="0"/>
              <w:keepNext w:val="0"/>
              <w:spacing w:before="0" w:beforeAutospacing="0" w:after="0" w:afterAutospacing="0"/>
              <w:widowControl/>
              <w:tabs>
                <w:tab w:val="left" w:pos="2376" w:leader="none"/>
              </w:tabs>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扫描及数据处理和命题及答题卡制作</w:t>
            </w:r>
            <w:r/>
          </w:p>
        </w:tc>
      </w:tr>
      <w:tr>
        <w:trPr>
          <w:trHeight w:val="560"/>
        </w:trPr>
        <w:tc>
          <w:tcPr>
            <w:shd w:val="clear" w:color="auto" w:fill="auto"/>
            <w:tcW w:w="6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3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扫描及数据处理</w:t>
            </w:r>
            <w:r/>
          </w:p>
        </w:tc>
        <w:tc>
          <w:tcPr>
            <w:shd w:val="clear" w:color="auto" w:fill="auto"/>
            <w:tcW w:w="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806"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2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76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11500</w:t>
            </w:r>
            <w:r/>
          </w:p>
        </w:tc>
        <w:tc>
          <w:tcPr>
            <w:shd w:val="clear" w:color="auto" w:fill="auto"/>
            <w:tcW w:w="1097"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固定</w:t>
            </w:r>
            <w:r/>
          </w:p>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费用</w:t>
            </w:r>
            <w:r/>
          </w:p>
        </w:tc>
      </w:tr>
      <w:tr>
        <w:trPr>
          <w:trHeight w:val="560"/>
        </w:trPr>
        <w:tc>
          <w:tcPr>
            <w:shd w:val="clear" w:color="auto" w:fill="auto"/>
            <w:tcW w:w="66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3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命题</w:t>
            </w:r>
            <w:r/>
          </w:p>
        </w:tc>
        <w:tc>
          <w:tcPr>
            <w:shd w:val="clear" w:color="auto" w:fill="auto"/>
            <w:tcW w:w="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806"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2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76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118800</w:t>
            </w:r>
            <w:r/>
          </w:p>
        </w:tc>
        <w:tc>
          <w:tcPr>
            <w:shd w:val="clear" w:color="auto" w:fill="auto"/>
            <w:tcW w:w="1097" w:type="dxa"/>
            <w:vAlign w:val="center"/>
            <w:vMerge w:val="continue"/>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60"/>
        </w:trPr>
        <w:tc>
          <w:tcPr>
            <w:shd w:val="clear" w:color="auto" w:fill="auto"/>
            <w:tcW w:w="66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3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答题卡制作</w:t>
            </w:r>
            <w:r/>
          </w:p>
        </w:tc>
        <w:tc>
          <w:tcPr>
            <w:shd w:val="clear" w:color="auto" w:fill="auto"/>
            <w:tcW w:w="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806"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2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769"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W w:w="1097" w:type="dxa"/>
            <w:vAlign w:val="center"/>
            <w:vMerge w:val="continue"/>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40"/>
        </w:trPr>
        <w:tc>
          <w:tcPr>
            <w:gridSpan w:val="5"/>
            <w:shd w:val="clear" w:color="auto" w:fill="auto"/>
            <w:tcW w:w="5709"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W w:w="176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137304.94 </w:t>
            </w:r>
            <w:r/>
          </w:p>
        </w:tc>
        <w:tc>
          <w:tcPr>
            <w:shd w:val="clear" w:color="auto" w:fill="auto"/>
            <w:tcW w:w="1097"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spacing w:line="360" w:lineRule="auto"/>
        <w:rPr>
          <w:rFonts w:hint="default" w:ascii="宋体" w:hAnsi="宋体" w:eastAsia="宋体" w:cs="宋体"/>
          <w:b/>
          <w:bCs/>
          <w:i w:val="0"/>
          <w:iCs w:val="0"/>
          <w:color w:val="000000"/>
          <w:sz w:val="24"/>
          <w:szCs w:val="24"/>
          <w:u w:val="none"/>
          <w:lang w:val="en-US" w:eastAsia="zh-CN" w:bidi="ar"/>
        </w:rPr>
      </w:pPr>
      <w:r>
        <w:rPr>
          <w:rFonts w:hint="eastAsia" w:ascii="宋体" w:hAnsi="宋体" w:eastAsia="宋体" w:cs="宋体"/>
          <w:b/>
          <w:bCs/>
          <w:sz w:val="24"/>
          <w:szCs w:val="24"/>
        </w:rPr>
        <w:t xml:space="preserve">注：</w:t>
      </w:r>
      <w:r>
        <w:rPr>
          <w:rFonts w:hint="eastAsia" w:ascii="宋体" w:hAnsi="宋体" w:eastAsia="宋体" w:cs="宋体"/>
          <w:b/>
          <w:bCs/>
          <w:sz w:val="24"/>
          <w:szCs w:val="24"/>
          <w:lang w:val="en-US" w:eastAsia="zh-CN"/>
        </w:rPr>
        <w:t xml:space="preserve">1、</w:t>
      </w:r>
      <w:r>
        <w:rPr>
          <w:rFonts w:hint="eastAsia" w:ascii="宋体" w:hAnsi="宋体" w:eastAsia="宋体" w:cs="宋体"/>
          <w:b/>
          <w:bCs/>
          <w:i w:val="0"/>
          <w:iCs w:val="0"/>
          <w:color w:val="000000"/>
          <w:sz w:val="24"/>
          <w:szCs w:val="24"/>
          <w:u w:val="none"/>
          <w:lang w:val="en-US" w:eastAsia="zh-CN" w:bidi="ar"/>
        </w:rPr>
        <w:t xml:space="preserve">扫描及数据处理和命题费用、答题卡制作为固定费用，不可竞争；在明细报价表中可不报品牌、规格，可不</w:t>
      </w:r>
      <w:r>
        <w:rPr>
          <w:rFonts w:hint="eastAsia" w:ascii="宋体" w:hAnsi="宋体" w:cs="宋体"/>
          <w:b/>
          <w:bCs/>
          <w:i w:val="0"/>
          <w:iCs w:val="0"/>
          <w:color w:val="000000"/>
          <w:sz w:val="24"/>
          <w:szCs w:val="24"/>
          <w:u w:val="none"/>
          <w:lang w:val="en-US" w:eastAsia="zh-CN" w:bidi="ar"/>
        </w:rPr>
        <w:t xml:space="preserve">在</w:t>
      </w:r>
      <w:r>
        <w:rPr>
          <w:rFonts w:hint="eastAsia" w:ascii="宋体" w:hAnsi="宋体" w:eastAsia="宋体" w:cs="宋体"/>
          <w:b/>
          <w:bCs/>
          <w:i w:val="0"/>
          <w:iCs w:val="0"/>
          <w:color w:val="000000"/>
          <w:sz w:val="24"/>
          <w:szCs w:val="24"/>
          <w:u w:val="none"/>
          <w:lang w:val="en-US" w:eastAsia="zh-CN" w:bidi="ar"/>
        </w:rPr>
        <w:t xml:space="preserve">小微企业声明函中作出承诺。</w:t>
      </w:r>
      <w:r/>
    </w:p>
    <w:p>
      <w:pPr>
        <w:spacing w:line="360" w:lineRule="auto"/>
        <w:rPr>
          <w:rFonts w:hint="eastAsia" w:ascii="宋体" w:hAnsi="宋体" w:eastAsia="宋体" w:cs="宋体"/>
          <w:b/>
          <w:bCs/>
          <w:sz w:val="24"/>
          <w:szCs w:val="24"/>
        </w:rPr>
      </w:pPr>
      <w:r>
        <w:rPr>
          <w:rFonts w:hint="eastAsia" w:ascii="宋体" w:hAnsi="宋体" w:eastAsia="宋体" w:cs="宋体"/>
          <w:b/>
          <w:bCs/>
          <w:i w:val="0"/>
          <w:iCs w:val="0"/>
          <w:color w:val="000000"/>
          <w:sz w:val="24"/>
          <w:szCs w:val="24"/>
          <w:u w:val="none"/>
          <w:lang w:val="en-US" w:eastAsia="zh-CN" w:bidi="ar"/>
        </w:rPr>
        <w:t xml:space="preserve">2、</w:t>
      </w:r>
      <w:r>
        <w:rPr>
          <w:rFonts w:hint="eastAsia" w:ascii="宋体" w:hAnsi="宋体" w:eastAsia="宋体" w:cs="宋体"/>
          <w:b/>
          <w:bCs/>
          <w:sz w:val="24"/>
          <w:szCs w:val="24"/>
        </w:rPr>
        <w:t xml:space="preserve">上表中数量仅作为</w:t>
      </w:r>
      <w:r>
        <w:rPr>
          <w:rFonts w:hint="eastAsia" w:ascii="宋体" w:hAnsi="宋体" w:eastAsia="宋体" w:cs="宋体"/>
          <w:b/>
          <w:bCs/>
          <w:sz w:val="24"/>
          <w:szCs w:val="24"/>
          <w:lang w:eastAsia="zh-CN"/>
        </w:rPr>
        <w:t xml:space="preserve">中标单位</w:t>
      </w:r>
      <w:r>
        <w:rPr>
          <w:rFonts w:hint="eastAsia" w:ascii="宋体" w:hAnsi="宋体" w:eastAsia="宋体" w:cs="宋体"/>
          <w:b/>
          <w:bCs/>
          <w:sz w:val="24"/>
          <w:szCs w:val="24"/>
        </w:rPr>
        <w:t xml:space="preserve">在投标报价时进行报价参考的依据。实际合同结算价款按采购人验收合格的实际</w:t>
      </w:r>
      <w:r>
        <w:rPr>
          <w:rFonts w:hint="eastAsia" w:ascii="宋体" w:hAnsi="宋体" w:eastAsia="宋体" w:cs="宋体"/>
          <w:b/>
          <w:bCs/>
          <w:sz w:val="24"/>
          <w:szCs w:val="24"/>
          <w:lang w:eastAsia="zh-CN"/>
        </w:rPr>
        <w:t xml:space="preserve">纸张</w:t>
      </w:r>
      <w:r>
        <w:rPr>
          <w:rFonts w:hint="eastAsia" w:ascii="宋体" w:hAnsi="宋体" w:eastAsia="宋体" w:cs="宋体"/>
          <w:b/>
          <w:bCs/>
          <w:sz w:val="24"/>
          <w:szCs w:val="24"/>
        </w:rPr>
        <w:t xml:space="preserve">印刷数量*单价进行结算。采购人不对实际采购数量作任何保证和承诺。支付总金额不超预算金额的按照实际金额支付，支付总金额超过预算金额的按预算金额支付。</w:t>
      </w:r>
      <w:r/>
    </w:p>
    <w:p>
      <w:pPr>
        <w:spacing w:line="360" w:lineRule="auto"/>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3.标</w:t>
      </w:r>
      <w:r>
        <w:rPr>
          <w:rFonts w:hint="eastAsia" w:ascii="宋体" w:hAnsi="宋体" w:eastAsia="宋体" w:cs="宋体"/>
          <w:b/>
          <w:bCs/>
          <w:sz w:val="24"/>
          <w:szCs w:val="24"/>
          <w:lang w:eastAsia="zh-CN"/>
        </w:rPr>
        <mc:AlternateContent>
          <mc:Choice Requires="wpg">
            <w:drawing>
              <wp:inline xmlns:wp="http://schemas.openxmlformats.org/drawingml/2006/wordprocessingDrawing" distT="0" distB="0" distL="0" distR="0">
                <wp:extent cx="127000" cy="127000"/>
                <wp:effectExtent l="0" t="0" r="6350" b="6350"/>
                <wp:docPr id="6" name="图片 5" descr="正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正圆"/>
                        <pic:cNvPicPr>
                          <a:picLocks noChangeAspect="1"/>
                        </pic:cNvPicPr>
                        <pic:nvPr/>
                      </pic:nvPicPr>
                      <pic:blipFill>
                        <a:blip r:embed="rId16"/>
                        <a:stretch/>
                      </pic:blipFill>
                      <pic:spPr bwMode="auto">
                        <a:xfrm>
                          <a:off x="0" y="0"/>
                          <a:ext cx="127000" cy="127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0pt;height:10.0pt;mso-wrap-distance-left:0.0pt;mso-wrap-distance-top:0.0pt;mso-wrap-distance-right:0.0pt;mso-wrap-distance-bottom:0.0pt;" stroked="false">
                <v:path textboxrect="0,0,0,0"/>
                <v:imagedata r:id="rId16" o:title=""/>
              </v:shape>
            </w:pict>
          </mc:Fallback>
        </mc:AlternateContent>
      </w:r>
      <w:r>
        <w:rPr>
          <w:rFonts w:hint="eastAsia" w:ascii="宋体" w:hAnsi="宋体" w:cs="宋体"/>
          <w:b/>
          <w:bCs/>
          <w:sz w:val="24"/>
          <w:szCs w:val="24"/>
          <w:lang w:val="en-US" w:eastAsia="zh-CN"/>
        </w:rPr>
        <w:t xml:space="preserve">为</w:t>
      </w:r>
      <w:r>
        <w:rPr>
          <w:rFonts w:hint="eastAsia" w:ascii="宋体" w:hAnsi="宋体" w:eastAsia="宋体" w:cs="宋体"/>
          <w:b/>
          <w:bCs/>
          <w:sz w:val="24"/>
          <w:szCs w:val="24"/>
        </w:rPr>
        <w:t xml:space="preserve">核心产品</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服务标准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①详细技术要求：</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A、排版及校对要求：</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应调配技术熟练、服务态度好的排字员，确定排版专用电脑，负责</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和答题卡的排版工作，排版应服从采购人的要求，每份</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由</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初次排版后交采购方人员全面校对一次，发回</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修正，</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将修正后的</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再次发给采购人，多次审校，采购人有专门的审校接送人负责联络，完成后在</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单位进行终校，最后经采购人签字确认后定版付印。</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B、纸张要求：纸张书写不浸墨，无纸张残破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双面黑白印刷，文字、图案清晰，格式美观，无印刷漏页的情况，所有</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应印制密封线，每份</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按页码顺序排好。相关要求执行国家印制标准。</w:t>
      </w:r>
      <w:r/>
    </w:p>
    <w:p>
      <w:pPr>
        <w:ind w:firstLine="420"/>
        <w:spacing w:line="360" w:lineRule="auto"/>
        <w:rPr>
          <w:rFonts w:hint="eastAsia" w:ascii="宋体" w:hAnsi="宋体" w:eastAsia="宋体" w:cs="宋体"/>
          <w:szCs w:val="24"/>
        </w:rPr>
      </w:pPr>
      <w:r>
        <w:rPr>
          <w:rFonts w:hint="eastAsia" w:ascii="宋体" w:hAnsi="宋体" w:eastAsia="宋体" w:cs="宋体"/>
          <w:bCs/>
          <w:color w:val="000000"/>
          <w:sz w:val="24"/>
          <w:szCs w:val="24"/>
        </w:rPr>
        <w:t xml:space="preserve">C、</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袋及配装要求：</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袋须可装下</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0份及以上（每份大于5页）的8开</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，应采用80g及以上结实的牛皮纸制作，书写不浸墨；</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袋内应配装：包头纸；</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袋正面要印制考试相关信息（由采购单位提前一周审核、告知），</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袋（含正面信息）及袋内配装物件由</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提供。</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D、答题卡袋要求：答题卡袋须可装下</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0份（平放）的答题纸，应采用120g结实的牛皮纸制作，书写不浸墨。答题卡袋（含正面信息）及袋内配装物件由</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提供。</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E、装袋要求：印好的</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应清点数目，并按照采购方送印人提供的清单要求装袋，并贴上封条。各科</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分别装袋，根据给定袋数按照30份分装。A3、A4答题卡根据给定袋数按照30份分装。</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打包：</w:t>
      </w:r>
      <w:r>
        <w:rPr>
          <w:rFonts w:hint="eastAsia" w:ascii="宋体" w:hAnsi="宋体" w:eastAsia="宋体" w:cs="宋体"/>
          <w:bCs/>
          <w:color w:val="000000"/>
          <w:sz w:val="24"/>
          <w:szCs w:val="24"/>
        </w:rPr>
        <w:t xml:space="preserve">按学校、年级、科目打包。包装、打包要确保数量准确。</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F、</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必须采用符合国家环保要求的纸张和油墨印制。</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G、由于</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原因造成印制、分装、分发等错误，</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应承担相应责任，采购单位有权终止合同，并视</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违约，采购单位有权要求</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支付违约金。</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②时效性要求：</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A、采购单位各送印人交付</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内容后，</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应在采购单位要求的时间内</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完成</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的印刷、分装，并运送到采购单位指定的地点并进行分发。</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B、由于</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原因造成的考试时间延误，</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应承担相应责任，采购单位有权终止合同，并视</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违约，采购单位有权要求</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支付违约金。</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③差错率要求：</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A、</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分发：分发给各送印人的</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，单袋及总体</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数量不得出现负偏差。</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B、由于</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原因造成的负偏差，</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应承担相应责任，采购方有权终止合同，并视</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违约，采购方有权要求</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支付违约金。</w:t>
      </w:r>
      <w:r/>
    </w:p>
    <w:p>
      <w:pPr>
        <w:ind w:firstLine="420"/>
        <w:spacing w:line="48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④印刷秘密的要求</w:t>
      </w:r>
      <w:r>
        <w:rPr>
          <w:rFonts w:hint="eastAsia" w:ascii="宋体" w:hAnsi="宋体" w:eastAsia="宋体" w:cs="宋体"/>
          <w:bCs/>
          <w:color w:val="000000"/>
          <w:sz w:val="24"/>
          <w:szCs w:val="24"/>
          <w:lang w:eastAsia="zh-CN"/>
        </w:rPr>
        <w:t xml:space="preserve">：</w:t>
      </w:r>
      <w:r/>
    </w:p>
    <w:p>
      <w:pPr>
        <w:ind w:firstLine="42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因重大考试秘密性要求，在指定的系统传输相关试卷内容，在指定的空间、区域印刷相关材料，安防监控、物理环境符合服务国家相关标准要求(参照无尘仓储要求)。</w:t>
      </w:r>
      <w:r/>
    </w:p>
    <w:p>
      <w:pPr>
        <w:ind w:firstLine="42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（三）实施、保密等方案</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A、项目实施方案：</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印刷服务项目，涉及的环节较多，面向学校所有教师，时效性及准确性要求较高，服务质量要求高，</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应在仔细了解本项目要求及特点的基础上，详细写出项目实施的技术方案，对涉及印刷、分发、保密各环节的具体实施，做出详细规划，由采购人按方案及方案的优化要求监督实施。</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B、保密方案：</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因本项目所需印制</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有较高的保密要求，为确保</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的保密性，</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应在详细了解本项目情况的基础上，制定详尽的保密方案，并在合同中约定保密责任，否则，由</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原因造成的</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泄密，采购方有权立即终止合同，并要求对</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处以按年度结算合同总额</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%的违约金，并保留进一步追究其法律责任的权力。</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C、具有处理突发事件的能力</w:t>
      </w:r>
      <w:r>
        <w:rPr>
          <w:rFonts w:hint="eastAsia" w:ascii="宋体" w:hAnsi="宋体" w:eastAsia="宋体" w:cs="宋体"/>
          <w:bCs/>
          <w:color w:val="000000"/>
          <w:sz w:val="24"/>
          <w:szCs w:val="24"/>
          <w:lang w:eastAsia="zh-CN"/>
        </w:rPr>
        <w:t xml:space="preserve">，如遇印刷产品质量问题、印刷物泄密、不能按时配送到位等突发情况，提供有针对性的应急预案</w:t>
      </w:r>
      <w:r>
        <w:rPr>
          <w:rFonts w:hint="eastAsia" w:ascii="宋体" w:hAnsi="宋体" w:eastAsia="宋体" w:cs="宋体"/>
          <w:bCs/>
          <w:color w:val="000000"/>
          <w:sz w:val="24"/>
          <w:szCs w:val="24"/>
        </w:rPr>
        <w:t xml:space="preserve">。</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D、供货保障方案：</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根据生产完成时间优化组织运输（包括货物的装卸、装卸时间的协调）、运输规划（包括路线规划、运输车辆的调配、运输计划）等相关内容</w:t>
      </w:r>
      <w:r/>
    </w:p>
    <w:p>
      <w:pPr>
        <w:ind w:firstLine="42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（四）设备投入</w:t>
      </w:r>
      <w:r/>
    </w:p>
    <w:p>
      <w:pPr>
        <w:spacing w:line="360" w:lineRule="auto"/>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4"/>
          <w:szCs w:val="24"/>
          <w:lang w:val="en-US" w:eastAsia="zh-CN" w:bidi="ar-SA"/>
        </w:rPr>
        <w:t xml:space="preserve">   中标单位具有实施本项目所需的对开单面胶印机、对开双面胶印机、四色彩印机、</w:t>
      </w:r>
      <w:r>
        <w:rPr>
          <w:rFonts w:hint="eastAsia" w:ascii="宋体" w:hAnsi="宋体" w:eastAsia="宋体" w:cs="宋体"/>
          <w:color w:val="000000"/>
          <w:spacing w:val="15"/>
          <w:sz w:val="24"/>
          <w:szCs w:val="24"/>
          <w:lang w:val="en-US" w:eastAsia="zh-CN" w:bidi="ar-SA"/>
        </w:rPr>
        <w:t xml:space="preserve">对开切纸机</w:t>
      </w:r>
      <w:r>
        <w:rPr>
          <w:rFonts w:hint="eastAsia" w:ascii="宋体" w:hAnsi="宋体" w:eastAsia="宋体" w:cs="宋体"/>
          <w:color w:val="000000"/>
          <w:sz w:val="24"/>
          <w:szCs w:val="24"/>
          <w:lang w:val="en-US" w:eastAsia="zh-CN" w:bidi="ar-SA"/>
        </w:rPr>
        <w:t xml:space="preserve">等设备。</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三、人员配备要求</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lang w:eastAsia="zh-CN"/>
        </w:rPr>
        <w:t xml:space="preserve">中标单位</w:t>
      </w:r>
      <w:r>
        <w:rPr>
          <w:rFonts w:hint="eastAsia" w:ascii="宋体" w:hAnsi="宋体" w:eastAsia="宋体" w:cs="宋体"/>
          <w:bCs/>
          <w:sz w:val="24"/>
          <w:szCs w:val="24"/>
        </w:rPr>
        <w:t xml:space="preserve">须配备设计排版、印刷、配送人员。</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四、</w:t>
      </w:r>
      <w:r>
        <w:rPr>
          <w:rFonts w:hint="eastAsia" w:ascii="宋体" w:hAnsi="宋体" w:cs="宋体"/>
          <w:b/>
          <w:sz w:val="28"/>
          <w:szCs w:val="28"/>
          <w:lang w:eastAsia="zh-CN"/>
        </w:rPr>
        <w:t xml:space="preserve">供货期</w:t>
      </w:r>
      <w:r>
        <w:rPr>
          <w:rFonts w:hint="eastAsia" w:ascii="宋体" w:hAnsi="宋体" w:eastAsia="宋体" w:cs="宋体"/>
          <w:b/>
          <w:sz w:val="28"/>
          <w:szCs w:val="28"/>
        </w:rPr>
        <w:t xml:space="preserve">限与项目进度安排</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供货期</w:t>
      </w:r>
      <w:r>
        <w:rPr>
          <w:rFonts w:hint="eastAsia" w:ascii="宋体" w:hAnsi="宋体" w:eastAsia="宋体" w:cs="宋体"/>
          <w:sz w:val="24"/>
          <w:szCs w:val="24"/>
        </w:rPr>
        <w:t xml:space="preserve">限：3年。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交付期：期中、期末等调研</w:t>
      </w:r>
      <w:r>
        <w:rPr>
          <w:rFonts w:hint="eastAsia" w:ascii="宋体" w:hAnsi="宋体" w:eastAsia="宋体" w:cs="宋体"/>
          <w:sz w:val="24"/>
          <w:szCs w:val="24"/>
          <w:lang w:eastAsia="zh-CN"/>
        </w:rPr>
        <w:t xml:space="preserve">纸张</w:t>
      </w:r>
      <w:r>
        <w:rPr>
          <w:rFonts w:hint="eastAsia" w:ascii="宋体" w:hAnsi="宋体" w:eastAsia="宋体" w:cs="宋体"/>
          <w:sz w:val="24"/>
          <w:szCs w:val="24"/>
        </w:rPr>
        <w:t xml:space="preserve">在开考前两天送至各校。</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五、知识产权归属和处理方式</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工作中涉及的敏感资料、电子数据等相关信息，</w:t>
      </w:r>
      <w:r>
        <w:rPr>
          <w:rFonts w:hint="eastAsia" w:ascii="宋体" w:hAnsi="宋体" w:eastAsia="宋体" w:cs="宋体"/>
          <w:sz w:val="24"/>
          <w:szCs w:val="24"/>
          <w:lang w:eastAsia="zh-CN"/>
        </w:rPr>
        <w:t xml:space="preserve">中标单位</w:t>
      </w:r>
      <w:r>
        <w:rPr>
          <w:rFonts w:hint="eastAsia" w:ascii="宋体" w:hAnsi="宋体" w:eastAsia="宋体" w:cs="宋体"/>
          <w:sz w:val="24"/>
          <w:szCs w:val="24"/>
        </w:rPr>
        <w:t xml:space="preserve">应严格执行保密的相关规定，不得以任何方式向任何第三人披露、泄露或许可第三人使用，否则追究其相应法律责任。</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六、履约验收</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sz w:val="24"/>
          <w:szCs w:val="24"/>
          <w:lang w:eastAsia="zh-CN"/>
        </w:rPr>
        <w:t xml:space="preserve">纸张</w:t>
      </w:r>
      <w:r>
        <w:rPr>
          <w:rFonts w:hint="eastAsia" w:ascii="宋体" w:hAnsi="宋体" w:eastAsia="宋体" w:cs="宋体"/>
          <w:sz w:val="24"/>
          <w:szCs w:val="24"/>
        </w:rPr>
        <w:t xml:space="preserve">制作完成后，交付各学校，采购人通过随机抽查方式，随机检查一批</w:t>
      </w:r>
      <w:r>
        <w:rPr>
          <w:rFonts w:hint="eastAsia" w:ascii="宋体" w:hAnsi="宋体" w:eastAsia="宋体" w:cs="宋体"/>
          <w:sz w:val="24"/>
          <w:szCs w:val="24"/>
          <w:lang w:eastAsia="zh-CN"/>
        </w:rPr>
        <w:t xml:space="preserve">纸张</w:t>
      </w:r>
      <w:r>
        <w:rPr>
          <w:rFonts w:hint="eastAsia" w:ascii="宋体" w:hAnsi="宋体" w:eastAsia="宋体" w:cs="宋体"/>
          <w:sz w:val="24"/>
          <w:szCs w:val="24"/>
        </w:rPr>
        <w:t xml:space="preserve">，对照排版及校对、纸张及印刷、</w:t>
      </w:r>
      <w:r>
        <w:rPr>
          <w:rFonts w:hint="eastAsia" w:ascii="宋体" w:hAnsi="宋体" w:eastAsia="宋体" w:cs="宋体"/>
          <w:sz w:val="24"/>
          <w:szCs w:val="24"/>
          <w:lang w:eastAsia="zh-CN"/>
        </w:rPr>
        <w:t xml:space="preserve">纸张</w:t>
      </w:r>
      <w:r>
        <w:rPr>
          <w:rFonts w:hint="eastAsia" w:ascii="宋体" w:hAnsi="宋体" w:eastAsia="宋体" w:cs="宋体"/>
          <w:sz w:val="24"/>
          <w:szCs w:val="24"/>
        </w:rPr>
        <w:t xml:space="preserve">袋及配装、答题卡袋、装袋、打包等要求，进行检查验收。由于</w:t>
      </w:r>
      <w:r>
        <w:rPr>
          <w:rFonts w:hint="eastAsia" w:ascii="宋体" w:hAnsi="宋体" w:eastAsia="宋体" w:cs="宋体"/>
          <w:sz w:val="24"/>
          <w:szCs w:val="24"/>
          <w:lang w:eastAsia="zh-CN"/>
        </w:rPr>
        <w:t xml:space="preserve">中标单位</w:t>
      </w:r>
      <w:r>
        <w:rPr>
          <w:rFonts w:hint="eastAsia" w:ascii="宋体" w:hAnsi="宋体" w:eastAsia="宋体" w:cs="宋体"/>
          <w:sz w:val="24"/>
          <w:szCs w:val="24"/>
        </w:rPr>
        <w:t xml:space="preserve">原因造成印制、分装、分发等错误，</w:t>
      </w:r>
      <w:r>
        <w:rPr>
          <w:rFonts w:hint="eastAsia" w:ascii="宋体" w:hAnsi="宋体" w:eastAsia="宋体" w:cs="宋体"/>
          <w:sz w:val="24"/>
          <w:szCs w:val="24"/>
          <w:lang w:eastAsia="zh-CN"/>
        </w:rPr>
        <w:t xml:space="preserve">中标单位</w:t>
      </w:r>
      <w:r>
        <w:rPr>
          <w:rFonts w:hint="eastAsia" w:ascii="宋体" w:hAnsi="宋体" w:eastAsia="宋体" w:cs="宋体"/>
          <w:bCs/>
          <w:color w:val="000000"/>
          <w:sz w:val="24"/>
          <w:szCs w:val="24"/>
        </w:rPr>
        <w:t xml:space="preserve">应承担相应责任，采购单位有权终止合同，并视</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违约，采购单位有权要求</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支付违约金。由于</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原因造成的考试时间延误，</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应承担相应责任，采购单位有权终止合同，并视</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违约，采购单位有权要求</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支付违约金。由于</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原因造成的负偏差，</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应承担相应责任，采购方有权终止合同，并视</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违约，采购方有权要求</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支付违约金。</w:t>
      </w:r>
      <w:r/>
    </w:p>
    <w:p>
      <w:pPr>
        <w:ind w:firstLine="562"/>
        <w:spacing w:line="360" w:lineRule="auto"/>
        <w:rPr>
          <w:rFonts w:hint="eastAsia" w:ascii="宋体" w:hAnsi="宋体" w:eastAsia="宋体" w:cs="宋体"/>
          <w:bCs/>
          <w:color w:val="000000"/>
          <w:sz w:val="24"/>
          <w:szCs w:val="24"/>
        </w:rPr>
      </w:pPr>
      <w:r>
        <w:rPr>
          <w:rFonts w:hint="eastAsia" w:ascii="宋体" w:hAnsi="宋体" w:eastAsia="宋体" w:cs="宋体"/>
          <w:b/>
          <w:sz w:val="28"/>
          <w:szCs w:val="28"/>
          <w:lang w:val="en-US" w:eastAsia="zh-CN"/>
        </w:rPr>
        <w:t xml:space="preserve">七</w:t>
      </w: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其他</w:t>
      </w:r>
      <w:r/>
    </w:p>
    <w:p>
      <w:pPr>
        <w:ind w:firstLine="480"/>
        <w:spacing w:line="360" w:lineRule="auto"/>
        <w:rPr>
          <w:rFonts w:hint="eastAsia" w:ascii="宋体" w:hAnsi="宋体" w:eastAsia="宋体" w:cs="宋体"/>
          <w:szCs w:val="24"/>
        </w:rPr>
      </w:pPr>
      <w:r>
        <w:rPr>
          <w:rFonts w:hint="eastAsia" w:ascii="宋体" w:hAnsi="宋体" w:eastAsia="宋体" w:cs="宋体"/>
          <w:sz w:val="24"/>
          <w:szCs w:val="24"/>
        </w:rPr>
        <w:t xml:space="preserve">本项目报价包括产品价、检验、保险、配送费及税费等全部费用。无论材料如何涨跌、人工工资如何调整等市场或政策性因素而造成中标人的成本波动，单价均为固定单价，即在合同履行期间不作任何调整，采购人不再支付报价以外的任何费用。</w:t>
      </w:r>
      <w:r/>
    </w:p>
    <w:p>
      <w:pPr>
        <w:jc w:val="both"/>
        <w:keepLines/>
        <w:keepNext/>
        <w:spacing w:before="200" w:after="200"/>
        <w:widowControl w:val="off"/>
        <w:rPr>
          <w:rFonts w:hint="eastAsia" w:ascii="Calibri" w:hAnsi="Calibri" w:eastAsia="宋体" w:cs="Times New Roman"/>
          <w:b/>
          <w:color w:val="000000"/>
          <w:sz w:val="44"/>
          <w:szCs w:val="44"/>
          <w:highlight w:val="none"/>
          <w:lang w:val="en-US" w:eastAsia="zh-CN" w:bidi="ar-SA"/>
        </w:rPr>
        <w:outlineLvl w:val="0"/>
      </w:pPr>
      <w:r>
        <w:rPr>
          <w:rFonts w:hint="eastAsia" w:ascii="Calibri" w:hAnsi="Calibri" w:eastAsia="宋体" w:cs="Times New Roman"/>
          <w:b/>
          <w:color w:val="000000"/>
          <w:sz w:val="44"/>
          <w:szCs w:val="44"/>
          <w:highlight w:val="none"/>
          <w:lang w:val="en-US" w:eastAsia="zh-CN" w:bidi="ar-SA"/>
        </w:rPr>
      </w:r>
      <w:r/>
    </w:p>
    <w:p>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73"/>
        <w:jc w:val="center"/>
        <w:spacing w:before="200"/>
        <w:rPr>
          <w:rFonts w:ascii="宋体" w:hAnsi="宋体"/>
          <w:color w:val="000000"/>
          <w:sz w:val="32"/>
          <w:szCs w:val="32"/>
          <w:highlight w:val="none"/>
        </w:rPr>
      </w:pP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27"/>
      <w:r/>
      <w:bookmarkEnd w:id="128"/>
      <w:r/>
      <w:bookmarkEnd w:id="129"/>
      <w:r/>
      <w:bookmarkEnd w:id="130"/>
      <w:r/>
      <w:bookmarkEnd w:id="131"/>
      <w:r/>
      <w:bookmarkStart w:id="132" w:name="_Toc20823315"/>
      <w:r/>
      <w:bookmarkStart w:id="133" w:name="_Toc16938559"/>
      <w:r/>
      <w:bookmarkStart w:id="134" w:name="_Toc513029243"/>
      <w:r/>
      <w:r/>
    </w:p>
    <w:p>
      <w:pPr>
        <w:pStyle w:val="842"/>
        <w:jc w:val="center"/>
        <w:shd w:val="clear" w:color="auto"/>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pStyle w:val="842"/>
        <w:jc w:val="center"/>
        <w:shd w:val="clear" w:color="auto"/>
        <w:rPr>
          <w:rFonts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政府采购货物买卖合同</w:t>
      </w:r>
      <w:r/>
    </w:p>
    <w:p>
      <w:pPr>
        <w:shd w:val="clear" w:color="auto"/>
        <w:rPr>
          <w:rFonts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t xml:space="preserve">    </w:t>
      </w:r>
      <w:r/>
    </w:p>
    <w:p>
      <w:pPr>
        <w:pStyle w:val="1331"/>
        <w:shd w:val="clear" w:color="auto"/>
        <w:rPr>
          <w:color w:val="auto"/>
          <w:highlight w:val="none"/>
        </w:rPr>
      </w:pPr>
      <w:r>
        <w:rPr>
          <w:color w:val="auto"/>
          <w:highlight w:val="none"/>
        </w:rPr>
      </w:r>
      <w:r/>
    </w:p>
    <w:p>
      <w:pPr>
        <w:shd w:val="clear" w:color="auto"/>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shd w:val="clear" w:color="auto"/>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shd w:val="clear" w:color="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pStyle w:val="1331"/>
        <w:shd w:val="clear" w:color="auto"/>
        <w:rPr>
          <w:color w:val="auto"/>
          <w:highlight w:val="none"/>
        </w:rPr>
      </w:pPr>
      <w:r>
        <w:rPr>
          <w:color w:val="auto"/>
          <w:highlight w:val="none"/>
        </w:rPr>
      </w:r>
      <w:r/>
    </w:p>
    <w:p>
      <w:pPr>
        <w:pStyle w:val="1331"/>
        <w:shd w:val="clear" w:color="auto"/>
        <w:rPr>
          <w:color w:val="auto"/>
          <w:highlight w:val="none"/>
        </w:rPr>
      </w:pPr>
      <w:r>
        <w:rPr>
          <w:color w:val="auto"/>
          <w:highlight w:val="none"/>
        </w:rPr>
      </w:r>
      <w:r/>
    </w:p>
    <w:p>
      <w:pPr>
        <w:pStyle w:val="1331"/>
        <w:shd w:val="clear" w:color="auto"/>
        <w:rPr>
          <w:color w:val="auto"/>
          <w:highlight w:val="none"/>
        </w:rPr>
      </w:pPr>
      <w:r>
        <w:rPr>
          <w:color w:val="auto"/>
          <w:highlight w:val="none"/>
        </w:rPr>
      </w:r>
      <w:r/>
    </w:p>
    <w:p>
      <w:pPr>
        <w:pStyle w:val="1331"/>
        <w:shd w:val="clear" w:color="auto"/>
        <w:rPr>
          <w:color w:val="auto"/>
          <w:highlight w:val="none"/>
        </w:rPr>
      </w:pPr>
      <w:r>
        <w:rPr>
          <w:color w:val="auto"/>
          <w:highlight w:val="none"/>
        </w:rPr>
      </w:r>
      <w:r/>
    </w:p>
    <w:p>
      <w:pPr>
        <w:pStyle w:val="1331"/>
        <w:shd w:val="clear" w:color="auto"/>
        <w:rPr>
          <w:color w:val="auto"/>
          <w:highlight w:val="none"/>
        </w:rPr>
      </w:pPr>
      <w:r>
        <w:rPr>
          <w:color w:val="auto"/>
          <w:highlight w:val="none"/>
        </w:rPr>
      </w:r>
      <w:r/>
    </w:p>
    <w:p>
      <w:pPr>
        <w:pStyle w:val="1331"/>
        <w:shd w:val="clear" w:color="auto"/>
        <w:rPr>
          <w:color w:val="auto"/>
          <w:highlight w:val="none"/>
        </w:rPr>
      </w:pPr>
      <w:r>
        <w:rPr>
          <w:color w:val="auto"/>
          <w:highlight w:val="none"/>
        </w:rPr>
      </w:r>
      <w:r/>
    </w:p>
    <w:p>
      <w:pPr>
        <w:pStyle w:val="1331"/>
        <w:shd w:val="clear" w:color="auto"/>
        <w:rPr>
          <w:color w:val="auto"/>
          <w:highlight w:val="none"/>
        </w:rPr>
      </w:pPr>
      <w:r>
        <w:rPr>
          <w:color w:val="auto"/>
          <w:highlight w:val="none"/>
        </w:rPr>
      </w:r>
      <w:r/>
    </w:p>
    <w:p>
      <w:pPr>
        <w:pStyle w:val="1331"/>
        <w:shd w:val="clear" w:color="auto"/>
        <w:rPr>
          <w:color w:val="auto"/>
          <w:highlight w:val="none"/>
        </w:rPr>
      </w:pPr>
      <w:r>
        <w:rPr>
          <w:color w:val="auto"/>
          <w:highlight w:val="none"/>
        </w:rPr>
      </w:r>
      <w:r/>
    </w:p>
    <w:p>
      <w:pPr>
        <w:pStyle w:val="1331"/>
        <w:shd w:val="clear" w:color="auto"/>
        <w:rPr>
          <w:color w:val="auto"/>
          <w:highlight w:val="none"/>
        </w:rPr>
      </w:pPr>
      <w:r>
        <w:rPr>
          <w:color w:val="auto"/>
          <w:highlight w:val="none"/>
        </w:rPr>
      </w:r>
      <w:r/>
    </w:p>
    <w:p>
      <w:pPr>
        <w:pStyle w:val="1331"/>
        <w:ind w:left="0" w:firstLine="0"/>
        <w:shd w:val="clear" w:color="auto"/>
        <w:rPr>
          <w:color w:val="auto"/>
          <w:highlight w:val="none"/>
        </w:rPr>
      </w:pPr>
      <w:r>
        <w:rPr>
          <w:color w:val="auto"/>
          <w:highlight w:val="none"/>
        </w:rPr>
      </w:r>
      <w:r/>
    </w:p>
    <w:p>
      <w:pPr>
        <w:pStyle w:val="1331"/>
        <w:shd w:val="clear" w:color="auto"/>
        <w:rPr>
          <w:color w:val="auto"/>
          <w:highlight w:val="none"/>
        </w:rPr>
      </w:pPr>
      <w:r>
        <w:rPr>
          <w:color w:val="auto"/>
          <w:highlight w:val="none"/>
        </w:rPr>
      </w:r>
      <w:r/>
    </w:p>
    <w:p>
      <w:pPr>
        <w:pStyle w:val="1331"/>
        <w:shd w:val="clear" w:color="auto"/>
        <w:rPr>
          <w:color w:val="auto"/>
          <w:highlight w:val="none"/>
        </w:rPr>
      </w:pPr>
      <w:r>
        <w:rPr>
          <w:color w:val="auto"/>
          <w:highlight w:val="none"/>
        </w:rPr>
      </w:r>
      <w:r/>
    </w:p>
    <w:p>
      <w:pPr>
        <w:pStyle w:val="1331"/>
        <w:shd w:val="clear" w:color="auto"/>
        <w:rPr>
          <w:color w:val="auto"/>
          <w:highlight w:val="none"/>
        </w:rPr>
      </w:pPr>
      <w:r>
        <w:rPr>
          <w:color w:val="auto"/>
          <w:highlight w:val="none"/>
        </w:rPr>
      </w:r>
      <w:r/>
    </w:p>
    <w:p>
      <w:pPr>
        <w:pStyle w:val="1331"/>
        <w:shd w:val="clear" w:color="auto"/>
        <w:rPr>
          <w:color w:val="auto"/>
          <w:highlight w:val="none"/>
        </w:rPr>
      </w:pPr>
      <w:r>
        <w:rPr>
          <w:color w:val="auto"/>
          <w:highlight w:val="none"/>
        </w:rPr>
      </w:r>
      <w:r/>
    </w:p>
    <w:p>
      <w:pPr>
        <w:pStyle w:val="1331"/>
        <w:shd w:val="clear" w:color="auto"/>
        <w:rPr>
          <w:color w:val="auto"/>
          <w:highlight w:val="none"/>
        </w:rPr>
      </w:pPr>
      <w:r>
        <w:rPr>
          <w:color w:val="auto"/>
          <w:highlight w:val="none"/>
        </w:rPr>
      </w:r>
      <w:r/>
    </w:p>
    <w:p>
      <w:pPr>
        <w:pStyle w:val="1331"/>
        <w:shd w:val="clear" w:color="auto"/>
        <w:rPr>
          <w:color w:val="auto"/>
          <w:highlight w:val="none"/>
        </w:rPr>
      </w:pPr>
      <w:r>
        <w:rPr>
          <w:color w:val="auto"/>
          <w:highlight w:val="none"/>
        </w:rPr>
      </w:r>
      <w:r/>
    </w:p>
    <w:p>
      <w:pPr>
        <w:jc w:val="center"/>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使 用 说 明</w:t>
      </w:r>
      <w:r/>
    </w:p>
    <w:p>
      <w:pPr>
        <w:ind w:firstLine="640"/>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64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1.本合同标准文本适用于购买现成货物的采购项目，不包括需要</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定制开发、创新研发的货物采购项目。</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2.本合同标准文本为政府采购货物买卖合同编制提供参考，可以结合采购项目具体情况，对文本作必要的调整修订后使用。</w:t>
      </w:r>
      <w:r/>
    </w:p>
    <w:p>
      <w:pPr>
        <w:ind w:firstLine="64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3.本合同标准文本各条款中，如涉及填写多家</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、制造商，多种采购标的、分包主要内容等信息的，可根据采购项目具体情况添加信息项。</w:t>
      </w:r>
      <w:r/>
    </w:p>
    <w:p>
      <w:pPr>
        <w:ind w:firstLine="64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pStyle w:val="868"/>
        <w:rPr>
          <w:rFonts w:hint="eastAsia"/>
          <w:highlight w:val="none"/>
        </w:rPr>
      </w:pPr>
      <w:r>
        <w:rPr>
          <w:rFonts w:hint="eastAsia"/>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sectPr>
          <w:headerReference w:type="default" r:id="rId10"/>
          <w:footerReference w:type="default" r:id="rId13"/>
          <w:footnotePr/>
          <w:endnotePr/>
          <w:type w:val="continuous"/>
          <w:pgSz w:w="11906" w:h="16838" w:orient="portrait"/>
          <w:pgMar w:top="1440" w:right="1800" w:bottom="1440" w:left="1800" w:header="851" w:footer="992" w:gutter="0"/>
          <w:cols w:num="1" w:sep="0" w:space="720" w:equalWidth="1"/>
          <w:docGrid w:linePitch="360"/>
        </w:sectPr>
      </w:pPr>
      <w:r>
        <w:rPr>
          <w:rFonts w:hint="eastAsia" w:ascii="仿宋_GB2312" w:hAnsi="仿宋_GB2312" w:eastAsia="仿宋_GB2312" w:cs="仿宋_GB2312"/>
          <w:color w:val="auto"/>
          <w:sz w:val="32"/>
          <w:szCs w:val="32"/>
          <w:highlight w:val="none"/>
        </w:rPr>
      </w:r>
      <w:r/>
    </w:p>
    <w:p>
      <w:pPr>
        <w:pStyle w:val="830"/>
        <w:jc w:val="center"/>
        <w:spacing w:line="400" w:lineRule="exact"/>
        <w:shd w:val="clear" w:color="auto"/>
        <w:rPr>
          <w:rFonts w:hint="eastAsia" w:ascii="黑体" w:hAnsi="黑体" w:eastAsia="黑体"/>
          <w:b w:val="0"/>
          <w:bCs w:val="0"/>
          <w:color w:val="auto"/>
          <w:sz w:val="28"/>
          <w:szCs w:val="28"/>
          <w:highlight w:val="none"/>
        </w:rPr>
      </w:pPr>
      <w:r/>
      <w:bookmarkStart w:id="135" w:name="_Toc22209"/>
      <w:r/>
      <w:r/>
    </w:p>
    <w:p>
      <w:pPr>
        <w:pStyle w:val="830"/>
        <w:jc w:val="center"/>
        <w:spacing w:line="400" w:lineRule="exact"/>
        <w:shd w:val="clear" w:color="auto"/>
        <w:rPr>
          <w:rFonts w:ascii="黑体" w:hAnsi="华文中宋" w:eastAsia="黑体"/>
          <w:b w:val="0"/>
          <w:bCs w:val="0"/>
          <w:color w:val="auto"/>
          <w:sz w:val="28"/>
          <w:szCs w:val="28"/>
          <w:highlight w:val="none"/>
        </w:rPr>
      </w:pPr>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bookmarkEnd w:id="135"/>
      <w:r/>
      <w:r/>
    </w:p>
    <w:p>
      <w:pPr>
        <w:spacing w:line="400" w:lineRule="exact"/>
        <w:shd w:val="clear" w:color="auto"/>
        <w:rPr>
          <w:rFonts w:ascii="宋体" w:hAnsi="宋体"/>
          <w:color w:val="auto"/>
          <w:highlight w:val="none"/>
        </w:rPr>
      </w:pPr>
      <w:r>
        <w:rPr>
          <w:rFonts w:hint="eastAsia" w:ascii="宋体" w:hAnsi="宋体"/>
          <w:color w:val="auto"/>
          <w:highlight w:val="none"/>
        </w:rPr>
        <w:t xml:space="preserve">甲方（全称）：</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（采购人）</w:t>
      </w:r>
      <w:r/>
    </w:p>
    <w:p>
      <w:pPr>
        <w:spacing w:line="400" w:lineRule="exact"/>
        <w:shd w:val="clear" w:color="auto"/>
        <w:rPr>
          <w:rFonts w:ascii="宋体" w:hAnsi="宋体"/>
          <w:color w:val="auto"/>
          <w:highlight w:val="none"/>
        </w:rPr>
      </w:pPr>
      <w:r>
        <w:rPr>
          <w:rFonts w:hint="eastAsia" w:ascii="宋体" w:hAnsi="宋体"/>
          <w:color w:val="auto"/>
          <w:highlight w:val="none"/>
        </w:rPr>
        <w:t xml:space="preserve">乙方（全称）：</w:t>
      </w:r>
      <w:r>
        <w:rPr>
          <w:rFonts w:hint="eastAsia" w:ascii="宋体" w:hAnsi="宋体"/>
          <w:color w:val="auto"/>
          <w:highlight w:val="none"/>
          <w:u w:val="single"/>
        </w:rPr>
        <w:t xml:space="preserve">                        </w:t>
      </w:r>
      <w:r>
        <w:rPr>
          <w:rFonts w:hint="eastAsia" w:ascii="宋体" w:hAnsi="宋体"/>
          <w:color w:val="auto"/>
          <w:highlight w:val="none"/>
        </w:rPr>
        <w:t xml:space="preserve">（</w:t>
      </w:r>
      <w:r>
        <w:rPr>
          <w:rFonts w:hint="eastAsia" w:ascii="宋体" w:hAnsi="宋体"/>
          <w:color w:val="auto"/>
          <w:highlight w:val="none"/>
          <w:lang w:eastAsia="zh-CN"/>
        </w:rPr>
        <w:t xml:space="preserve">投标人</w:t>
      </w:r>
      <w:r>
        <w:rPr>
          <w:rFonts w:hint="eastAsia" w:ascii="宋体" w:hAnsi="宋体"/>
          <w:color w:val="auto"/>
          <w:highlight w:val="none"/>
        </w:rPr>
        <w:t xml:space="preserve">）</w:t>
      </w:r>
      <w:r/>
    </w:p>
    <w:p>
      <w:pPr>
        <w:pStyle w:val="843"/>
        <w:ind w:firstLine="420"/>
        <w:spacing w:line="400" w:lineRule="exact"/>
        <w:shd w:val="clear" w:color="auto"/>
        <w:rPr>
          <w:rFonts w:ascii="宋体" w:hAnsi="宋体"/>
          <w:color w:val="auto"/>
          <w:szCs w:val="21"/>
          <w:highlight w:val="none"/>
        </w:rPr>
      </w:pPr>
      <w:r>
        <w:rPr>
          <w:rFonts w:hint="eastAsia" w:ascii="宋体" w:hAnsi="宋体" w:eastAsia="宋体"/>
          <w:color w:val="auto"/>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rPr>
          <w:rFonts w:hint="eastAsia" w:ascii="宋体" w:hAnsi="宋体"/>
          <w:color w:val="auto"/>
          <w:szCs w:val="21"/>
          <w:highlight w:val="none"/>
        </w:rPr>
        <w:t xml:space="preserve">     </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项目信息</w:t>
      </w:r>
      <w:r/>
    </w:p>
    <w:p>
      <w:pPr>
        <w:pStyle w:val="843"/>
        <w:numPr>
          <w:ilvl w:val="0"/>
          <w:numId w:val="5"/>
        </w:numPr>
        <w:ind w:firstLine="420"/>
        <w:spacing w:line="400" w:lineRule="exact"/>
        <w:shd w:val="clear" w:color="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采购项目名称：</w:t>
      </w:r>
      <w:r>
        <w:rPr>
          <w:rFonts w:hint="eastAsia" w:ascii="宋体" w:hAnsi="宋体" w:eastAsia="宋体" w:cs="宋体"/>
          <w:color w:val="auto"/>
          <w:sz w:val="21"/>
          <w:szCs w:val="21"/>
          <w:highlight w:val="none"/>
          <w:u w:val="single"/>
        </w:rPr>
        <w:t xml:space="preserve">                                          </w:t>
      </w:r>
      <w:r/>
    </w:p>
    <w:p>
      <w:pPr>
        <w:pStyle w:val="843"/>
        <w:ind w:firstLine="0"/>
        <w:spacing w:line="400" w:lineRule="exact"/>
        <w:shd w:val="clear" w:color="auto"/>
        <w:tabs>
          <w:tab w:val="left" w:pos="999"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采购项目编号：</w:t>
      </w:r>
      <w:r>
        <w:rPr>
          <w:rFonts w:hint="eastAsia" w:ascii="宋体" w:hAnsi="宋体" w:eastAsia="宋体" w:cs="宋体"/>
          <w:color w:val="auto"/>
          <w:sz w:val="21"/>
          <w:szCs w:val="21"/>
          <w:highlight w:val="none"/>
          <w:u w:val="single"/>
        </w:rPr>
        <w:t xml:space="preserve">                                          </w:t>
      </w:r>
      <w:r/>
    </w:p>
    <w:p>
      <w:pPr>
        <w:pStyle w:val="843"/>
        <w:ind w:firstLine="420"/>
        <w:spacing w:line="400" w:lineRule="exact"/>
        <w:shd w:val="clear" w:color="auto"/>
        <w:rPr>
          <w:rFonts w:ascii="宋体" w:hAnsi="宋体"/>
          <w:color w:val="auto"/>
          <w:szCs w:val="21"/>
          <w:highlight w:val="none"/>
        </w:rPr>
      </w:pPr>
      <w:r>
        <w:rPr>
          <w:rFonts w:hint="eastAsia" w:ascii="宋体" w:hAnsi="宋体" w:eastAsia="宋体" w:cs="宋体"/>
          <w:color w:val="auto"/>
          <w:sz w:val="21"/>
          <w:szCs w:val="21"/>
          <w:highlight w:val="none"/>
        </w:rPr>
        <w:t xml:space="preserve">（2）采购计划编号：</w:t>
      </w:r>
      <w:r>
        <w:rPr>
          <w:rFonts w:hint="eastAsia" w:ascii="宋体" w:hAnsi="宋体" w:eastAsia="宋体" w:cs="宋体"/>
          <w:color w:val="auto"/>
          <w:sz w:val="21"/>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（3）项目内容：</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     采购标的及数量（台/套</w:t>
      </w:r>
      <w:r>
        <w:rPr>
          <w:rFonts w:ascii="宋体" w:hAnsi="宋体"/>
          <w:color w:val="auto"/>
          <w:highlight w:val="none"/>
          <w:lang w:val="en"/>
        </w:rPr>
        <w:t xml:space="preserve">/</w:t>
      </w:r>
      <w:r>
        <w:rPr>
          <w:rFonts w:hint="eastAsia" w:ascii="宋体" w:hAnsi="宋体"/>
          <w:color w:val="auto"/>
          <w:highlight w:val="none"/>
          <w:lang w:val="en"/>
        </w:rPr>
        <w:t xml:space="preserve">个</w:t>
      </w:r>
      <w:r>
        <w:rPr>
          <w:rFonts w:ascii="宋体" w:hAnsi="宋体"/>
          <w:color w:val="auto"/>
          <w:highlight w:val="none"/>
          <w:lang w:val="en"/>
        </w:rPr>
        <w:t xml:space="preserve">/</w:t>
      </w:r>
      <w:r>
        <w:rPr>
          <w:rFonts w:hint="eastAsia" w:ascii="宋体" w:hAnsi="宋体"/>
          <w:color w:val="auto"/>
          <w:highlight w:val="none"/>
          <w:lang w:val="en"/>
        </w:rPr>
        <w:t xml:space="preserve">架</w:t>
      </w:r>
      <w:r>
        <w:rPr>
          <w:rFonts w:ascii="宋体" w:hAnsi="宋体"/>
          <w:color w:val="auto"/>
          <w:highlight w:val="none"/>
          <w:lang w:val="en"/>
        </w:rPr>
        <w:t xml:space="preserve">/</w:t>
      </w:r>
      <w:r>
        <w:rPr>
          <w:rFonts w:hint="eastAsia" w:ascii="宋体" w:hAnsi="宋体"/>
          <w:color w:val="auto"/>
          <w:highlight w:val="none"/>
          <w:lang w:val="en"/>
        </w:rPr>
        <w:t xml:space="preserve">组等</w:t>
      </w:r>
      <w:r>
        <w:rPr>
          <w:rFonts w:hint="eastAsia" w:ascii="宋体" w:hAnsi="宋体"/>
          <w:color w:val="auto"/>
          <w:highlight w:val="none"/>
        </w:rPr>
        <w:t xml:space="preserve">）：</w:t>
      </w:r>
      <w:r>
        <w:rPr>
          <w:rFonts w:hint="eastAsia" w:ascii="宋体" w:hAnsi="宋体"/>
          <w:color w:val="auto"/>
          <w:highlight w:val="none"/>
          <w:u w:val="single"/>
        </w:rPr>
        <w:t xml:space="preserve">                </w:t>
      </w:r>
      <w:r>
        <w:rPr>
          <w:rFonts w:hint="eastAsia" w:ascii="宋体" w:hAnsi="宋体"/>
          <w:color w:val="auto"/>
          <w:highlight w:val="none"/>
        </w:rPr>
        <w:t xml:space="preserve">          </w:t>
      </w:r>
      <w:r/>
    </w:p>
    <w:p>
      <w:pPr>
        <w:ind w:firstLine="420"/>
        <w:spacing w:line="400" w:lineRule="exact"/>
        <w:shd w:val="clear" w:color="auto"/>
        <w:rPr>
          <w:rFonts w:ascii="宋体" w:hAnsi="宋体" w:cs="宋体"/>
          <w:color w:val="auto"/>
          <w:highlight w:val="none"/>
          <w:lang w:val="en"/>
        </w:rPr>
      </w:pPr>
      <w:r>
        <w:rPr>
          <w:rFonts w:hint="eastAsia" w:ascii="宋体" w:hAnsi="宋体"/>
          <w:color w:val="auto"/>
          <w:highlight w:val="none"/>
        </w:rPr>
        <w:t xml:space="preserve">     </w:t>
      </w:r>
      <w:r>
        <w:rPr>
          <w:rFonts w:hint="eastAsia" w:ascii="宋体" w:hAnsi="宋体" w:cs="宋体"/>
          <w:color w:val="auto"/>
          <w:highlight w:val="none"/>
        </w:rPr>
        <w:t xml:space="preserve">品牌：</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lang w:val="en"/>
        </w:rPr>
        <w:t xml:space="preserve">     </w:t>
      </w:r>
      <w:r>
        <w:rPr>
          <w:rFonts w:hint="eastAsia" w:ascii="宋体" w:hAnsi="宋体" w:cs="宋体"/>
          <w:color w:val="auto"/>
          <w:highlight w:val="none"/>
        </w:rPr>
        <w:t xml:space="preserve">规格型号：</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p>
    <w:p>
      <w:pPr>
        <w:ind w:firstLine="945"/>
        <w:spacing w:line="400" w:lineRule="exact"/>
        <w:shd w:val="clear" w:color="auto"/>
        <w:rPr>
          <w:rFonts w:ascii="宋体" w:hAnsi="宋体"/>
          <w:color w:val="auto"/>
          <w:highlight w:val="none"/>
          <w:u w:val="single"/>
        </w:rPr>
      </w:pPr>
      <w:r>
        <w:rPr>
          <w:rFonts w:hint="eastAsia" w:ascii="宋体" w:hAnsi="宋体"/>
          <w:color w:val="auto"/>
          <w:highlight w:val="none"/>
        </w:rPr>
        <w:t xml:space="preserve">采购标的的技术要求、商务要求具体见附件。</w:t>
      </w:r>
      <w:r/>
    </w:p>
    <w:p>
      <w:pPr>
        <w:pStyle w:val="1331"/>
        <w:ind w:firstLine="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1331"/>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1331"/>
        <w:ind w:firstLine="420"/>
        <w:shd w:val="clear" w:color="auto"/>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1331"/>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1331"/>
        <w:ind w:firstLine="220"/>
        <w:shd w:val="clear" w:color="auto"/>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shd w:val="clear" w:color="auto"/>
        <w:rPr>
          <w:rFonts w:ascii="宋体" w:hAnsi="宋体"/>
          <w:iCs/>
          <w:color w:val="auto"/>
          <w:highlight w:val="none"/>
        </w:rPr>
      </w:pPr>
      <w:r>
        <w:rPr>
          <w:rFonts w:hint="eastAsia" w:ascii="宋体" w:hAnsi="宋体"/>
          <w:color w:val="auto"/>
          <w:highlight w:val="none"/>
        </w:rPr>
        <w:t xml:space="preserve">本合同是否为专门面向中小企业的采购合同（中小企业预留合同）：</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shd w:val="clear" w:color="auto"/>
        <w:rPr>
          <w:rFonts w:ascii="宋体" w:hAnsi="宋体"/>
          <w:iCs/>
          <w:color w:val="auto"/>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shd w:val="clear" w:color="auto"/>
        <w:rPr>
          <w:rFonts w:ascii="宋体" w:hAnsi="宋体"/>
          <w:iCs/>
          <w:color w:val="auto"/>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shd w:val="clear" w:color="auto"/>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lang w:val="en"/>
        </w:rPr>
        <w:t xml:space="preserve">7</w:t>
      </w:r>
      <w:r>
        <w:rPr>
          <w:rFonts w:hint="eastAsia" w:ascii="宋体" w:hAnsi="宋体"/>
          <w:color w:val="auto"/>
          <w:highlight w:val="none"/>
        </w:rPr>
        <w:t xml:space="preserve">）合同是否分包：</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否</w:t>
      </w:r>
      <w:r/>
    </w:p>
    <w:p>
      <w:pPr>
        <w:spacing w:line="400" w:lineRule="exact"/>
        <w:shd w:val="clear" w:color="auto"/>
        <w:rPr>
          <w:rFonts w:ascii="宋体" w:hAnsi="宋体" w:cs="宋体"/>
          <w:iCs/>
          <w:color w:val="auto"/>
          <w:highlight w:val="none"/>
        </w:rPr>
      </w:pPr>
      <w:r>
        <w:rPr>
          <w:rFonts w:hint="eastAsia" w:ascii="宋体" w:hAnsi="宋体"/>
          <w:color w:val="auto"/>
          <w:highlight w:val="none"/>
        </w:rPr>
        <w:t xml:space="preserve">    </w:t>
      </w:r>
      <w:r>
        <w:rPr>
          <w:rFonts w:hint="eastAsia" w:ascii="宋体" w:hAnsi="宋体" w:cs="宋体"/>
          <w:color w:val="auto"/>
          <w:highlight w:val="none"/>
        </w:rPr>
        <w:t xml:space="preserve">（</w:t>
      </w:r>
      <w:r>
        <w:rPr>
          <w:rFonts w:ascii="宋体" w:hAnsi="宋体" w:cs="宋体"/>
          <w:color w:val="auto"/>
          <w:highlight w:val="none"/>
          <w:lang w:val="en"/>
        </w:rPr>
        <w:t xml:space="preserve">8</w:t>
      </w:r>
      <w:r>
        <w:rPr>
          <w:rFonts w:hint="eastAsia" w:ascii="宋体" w:hAnsi="宋体" w:cs="宋体"/>
          <w:color w:val="auto"/>
          <w:highlight w:val="none"/>
        </w:rPr>
        <w:t xml:space="preserve">）中标（成交）</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是否为外商投资企业：</w:t>
      </w:r>
      <w:r>
        <w:rPr>
          <w:rFonts w:ascii="Wingdings" w:hAnsi="Wingdings" w:eastAsia="Wingdings" w:cs="Wingdings"/>
          <w:iCs/>
          <w:color w:val="auto"/>
          <w:highlight w:val="none"/>
        </w:rPr>
        <w:t xml:space="preserve">¨</w:t>
      </w:r>
      <w:r>
        <w:rPr>
          <w:rFonts w:hint="eastAsia" w:ascii="宋体" w:hAnsi="宋体" w:cs="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cs="宋体"/>
          <w:iCs/>
          <w:color w:val="auto"/>
          <w:highlight w:val="none"/>
        </w:rPr>
        <w:t xml:space="preserve">否</w:t>
      </w:r>
      <w:r/>
    </w:p>
    <w:p>
      <w:pPr>
        <w:pStyle w:val="1331"/>
        <w:ind w:firstLine="420"/>
        <w:shd w:val="clear" w:color="auto"/>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shd w:val="clear" w:color="auto"/>
        <w:rPr>
          <w:rFonts w:ascii="宋体" w:hAns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lang w:val="en"/>
        </w:rPr>
        <w:t xml:space="preserve">9</w:t>
      </w:r>
      <w:r>
        <w:rPr>
          <w:rFonts w:hint="eastAsia" w:ascii="宋体" w:hAnsi="宋体" w:cs="宋体"/>
          <w:color w:val="auto"/>
          <w:highlight w:val="none"/>
        </w:rPr>
        <w:t xml:space="preserve">）是否涉及进口产品：</w:t>
      </w:r>
      <w:r/>
    </w:p>
    <w:p>
      <w:pPr>
        <w:ind w:firstLine="840"/>
        <w:spacing w:line="400" w:lineRule="exact"/>
        <w:shd w:val="clear" w:color="auto"/>
        <w:rPr>
          <w:rFonts w:ascii="宋体" w:hAnsi="宋体" w:cs="宋体"/>
          <w:color w:val="auto"/>
          <w:highlight w:val="none"/>
          <w:u w:val="single"/>
        </w:rPr>
      </w:pPr>
      <w:r>
        <w:rPr>
          <w:rFonts w:hint="eastAsia" w:ascii="宋体" w:hAnsi="宋体" w:cs="宋体"/>
          <w:color w:val="auto"/>
          <w:highlight w:val="none"/>
        </w:rPr>
        <w:t xml:space="preserve"> </w:t>
      </w:r>
      <w:r>
        <w:rPr>
          <w:rFonts w:ascii="Wingdings" w:hAnsi="Wingdings" w:eastAsia="Wingdings" w:cs="Wingdings"/>
          <w:color w:val="auto"/>
          <w:highlight w:val="none"/>
        </w:rPr>
        <w:t xml:space="preserve">¨</w:t>
      </w:r>
      <w:r>
        <w:rPr>
          <w:rFonts w:hint="eastAsia" w:ascii="宋体" w:hAnsi="宋体" w:cs="宋体"/>
          <w:color w:val="auto"/>
          <w:highlight w:val="none"/>
        </w:rPr>
        <w:t xml:space="preserve">是，《政府采购品目分类目录》底级品目名称：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金额：</w:t>
      </w:r>
      <w:r>
        <w:rPr>
          <w:rFonts w:hint="eastAsia" w:ascii="宋体" w:hAnsi="宋体" w:cs="宋体"/>
          <w:color w:val="auto"/>
          <w:highlight w:val="none"/>
          <w:u w:val="single"/>
        </w:rPr>
        <w:t xml:space="preserve">        </w:t>
      </w:r>
      <w:r/>
    </w:p>
    <w:p>
      <w:pPr>
        <w:ind w:firstLine="840"/>
        <w:spacing w:line="400" w:lineRule="exact"/>
        <w:shd w:val="clear" w:color="auto"/>
        <w:rPr>
          <w:rFonts w:ascii="宋体" w:hAnsi="宋体"/>
          <w:color w:val="auto"/>
          <w:highlight w:val="none"/>
        </w:rPr>
      </w:pPr>
      <w:r>
        <w:rPr>
          <w:rFonts w:hint="eastAsia" w:ascii="宋体" w:hAnsi="宋体" w:cs="宋体"/>
          <w:color w:val="auto"/>
          <w:highlight w:val="none"/>
        </w:rPr>
        <w:t xml:space="preserve">        国别：</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规格型号：</w:t>
      </w:r>
      <w:r>
        <w:rPr>
          <w:rFonts w:hint="eastAsia" w:ascii="宋体" w:hAnsi="宋体" w:cs="宋体"/>
          <w:color w:val="auto"/>
          <w:highlight w:val="none"/>
          <w:u w:val="single"/>
        </w:rPr>
        <w:t xml:space="preserve">        </w:t>
      </w:r>
      <w:r>
        <w:rPr>
          <w:rFonts w:hint="eastAsia" w:ascii="宋体" w:hAnsi="宋体"/>
          <w:color w:val="auto"/>
          <w:highlight w:val="none"/>
        </w:rPr>
        <w:t xml:space="preserve">      </w:t>
      </w:r>
      <w:r/>
    </w:p>
    <w:p>
      <w:pPr>
        <w:ind w:firstLine="840"/>
        <w:spacing w:line="400" w:lineRule="exact"/>
        <w:shd w:val="clear" w:color="auto"/>
        <w:rPr>
          <w:rFonts w:ascii="宋体" w:hAnsi="宋体"/>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þ</w:t>
      </w:r>
      <w:r>
        <w:rPr>
          <w:rFonts w:hint="eastAsia" w:ascii="宋体" w:hAnsi="宋体"/>
          <w:color w:val="auto"/>
          <w:highlight w:val="none"/>
        </w:rPr>
        <w:t xml:space="preserve">否</w:t>
      </w:r>
      <w:r/>
    </w:p>
    <w:p>
      <w:pPr>
        <w:spacing w:line="400" w:lineRule="exact"/>
        <w:shd w:val="clear" w:color="auto"/>
        <w:tabs>
          <w:tab w:val="left" w:pos="740" w:leader="none"/>
        </w:tabs>
        <w:rPr>
          <w:rFonts w:ascii="宋体" w:hAnsi="宋体"/>
          <w:color w:val="auto"/>
          <w:highlight w:val="none"/>
        </w:rPr>
      </w:pPr>
      <w:r>
        <w:rPr>
          <w:rFonts w:hint="eastAsia" w:ascii="宋体" w:hAnsi="宋体"/>
          <w:color w:val="auto"/>
          <w:highlight w:val="none"/>
        </w:rPr>
        <w:t xml:space="preserve">    （1</w:t>
      </w:r>
      <w:r>
        <w:rPr>
          <w:rFonts w:ascii="宋体" w:hAnsi="宋体"/>
          <w:color w:val="auto"/>
          <w:highlight w:val="none"/>
          <w:lang w:val="en"/>
        </w:rPr>
        <w:t xml:space="preserve">0</w:t>
      </w:r>
      <w:r>
        <w:rPr>
          <w:rFonts w:hint="eastAsia" w:ascii="宋体" w:hAnsi="宋体"/>
          <w:color w:val="auto"/>
          <w:highlight w:val="none"/>
        </w:rPr>
        <w:t xml:space="preserve">）是否涉及节能产品：</w:t>
      </w:r>
      <w:r/>
    </w:p>
    <w:p>
      <w:pPr>
        <w:spacing w:line="400" w:lineRule="exact"/>
        <w:shd w:val="clear" w:color="auto"/>
        <w:tabs>
          <w:tab w:val="left" w:pos="740" w:leader="none"/>
        </w:tabs>
        <w:rPr>
          <w:rFonts w:ascii="宋体" w:hAnsi="宋体"/>
          <w:iCs/>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是，《节能产品政府采购品目清单》的底级品目名称：</w:t>
      </w:r>
      <w:r>
        <w:rPr>
          <w:rFonts w:hint="eastAsia" w:ascii="宋体" w:hAnsi="宋体"/>
          <w:color w:val="auto"/>
          <w:highlight w:val="none"/>
          <w:u w:val="single"/>
        </w:rPr>
        <w:t xml:space="preserve">         </w:t>
      </w:r>
      <w:r>
        <w:rPr>
          <w:rFonts w:hint="eastAsia" w:ascii="宋体" w:hAnsi="宋体"/>
          <w:iCs/>
          <w:color w:val="auto"/>
          <w:highlight w:val="none"/>
        </w:rPr>
        <w:t xml:space="preserve">     </w:t>
      </w:r>
      <w:r/>
    </w:p>
    <w:p>
      <w:pPr>
        <w:spacing w:line="400" w:lineRule="exact"/>
        <w:shd w:val="clear" w:color="auto"/>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优先采购    </w:t>
      </w:r>
      <w:r/>
    </w:p>
    <w:p>
      <w:pPr>
        <w:spacing w:line="400" w:lineRule="exact"/>
        <w:shd w:val="clear" w:color="auto"/>
        <w:tabs>
          <w:tab w:val="left" w:pos="740" w:leader="none"/>
        </w:tabs>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color w:val="auto"/>
          <w:highlight w:val="none"/>
        </w:rPr>
        <w:t xml:space="preserve">þ</w:t>
      </w:r>
      <w:r>
        <w:rPr>
          <w:rFonts w:hint="eastAsia" w:ascii="宋体" w:hAnsi="宋体"/>
          <w:color w:val="auto"/>
          <w:highlight w:val="none"/>
        </w:rPr>
        <w:t xml:space="preserve">否</w:t>
      </w:r>
      <w:r/>
    </w:p>
    <w:p>
      <w:pPr>
        <w:spacing w:line="400" w:lineRule="exact"/>
        <w:shd w:val="clear" w:color="auto"/>
        <w:tabs>
          <w:tab w:val="left" w:pos="740" w:leader="none"/>
        </w:tabs>
        <w:rPr>
          <w:rFonts w:ascii="宋体" w:hAnsi="宋体"/>
          <w:color w:val="auto"/>
          <w:highlight w:val="none"/>
        </w:rPr>
      </w:pPr>
      <w:r>
        <w:rPr>
          <w:rFonts w:hint="eastAsia" w:ascii="宋体" w:hAnsi="宋体"/>
          <w:color w:val="auto"/>
          <w:highlight w:val="none"/>
        </w:rPr>
        <w:t xml:space="preserve">          是否涉及环境标志产品：</w:t>
      </w:r>
      <w:r/>
    </w:p>
    <w:p>
      <w:pPr>
        <w:spacing w:line="400" w:lineRule="exact"/>
        <w:shd w:val="clear" w:color="auto"/>
        <w:tabs>
          <w:tab w:val="left" w:pos="740" w:leader="none"/>
        </w:tabs>
        <w:rPr>
          <w:rFonts w:ascii="宋体" w:hAnsi="宋体"/>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是，《环境标志产品政府采购品目清单》的底级品目名称：</w:t>
      </w:r>
      <w:r>
        <w:rPr>
          <w:rFonts w:hint="eastAsia" w:ascii="宋体" w:hAnsi="宋体"/>
          <w:color w:val="auto"/>
          <w:highlight w:val="none"/>
          <w:u w:val="single"/>
        </w:rPr>
        <w:t xml:space="preserve">         </w:t>
      </w:r>
      <w:r>
        <w:rPr>
          <w:rFonts w:hint="eastAsia" w:ascii="宋体" w:hAnsi="宋体"/>
          <w:iCs/>
          <w:color w:val="auto"/>
          <w:highlight w:val="none"/>
        </w:rPr>
        <w:t xml:space="preserve"> </w:t>
      </w:r>
      <w:r/>
    </w:p>
    <w:p>
      <w:pPr>
        <w:spacing w:line="400" w:lineRule="exact"/>
        <w:shd w:val="clear" w:color="auto"/>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优先采购    </w:t>
      </w:r>
      <w:r/>
    </w:p>
    <w:p>
      <w:pPr>
        <w:spacing w:line="400" w:lineRule="exact"/>
        <w:shd w:val="clear" w:color="auto"/>
        <w:tabs>
          <w:tab w:val="left" w:pos="740" w:leader="none"/>
        </w:tabs>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color w:val="auto"/>
          <w:highlight w:val="none"/>
        </w:rPr>
        <w:t xml:space="preserve">þ</w:t>
      </w:r>
      <w:r>
        <w:rPr>
          <w:rFonts w:hint="eastAsia" w:ascii="宋体" w:hAnsi="宋体"/>
          <w:color w:val="auto"/>
          <w:highlight w:val="none"/>
        </w:rPr>
        <w:t xml:space="preserve">否</w:t>
      </w:r>
      <w:r/>
    </w:p>
    <w:p>
      <w:pPr>
        <w:pStyle w:val="1331"/>
        <w:ind w:firstLine="0"/>
        <w:shd w:val="clear" w:color="auto"/>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1331"/>
        <w:ind w:firstLine="420"/>
        <w:shd w:val="clear" w:color="auto"/>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p>
    <w:p>
      <w:pPr>
        <w:spacing w:line="400" w:lineRule="exact"/>
        <w:shd w:val="clear" w:color="auto"/>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w:t>
      </w:r>
      <w:r>
        <w:rPr>
          <w:rFonts w:hint="eastAsia" w:ascii="宋体" w:hAnsi="宋体"/>
          <w:iCs/>
          <w:color w:val="auto"/>
          <w:highlight w:val="none"/>
        </w:rPr>
        <w:t xml:space="preserve">优先采购    </w:t>
      </w:r>
      <w:r/>
    </w:p>
    <w:p>
      <w:pPr>
        <w:pStyle w:val="1331"/>
        <w:ind w:firstLine="420"/>
        <w:shd w:val="clear" w:color="auto"/>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shd w:val="clear" w:color="auto"/>
        <w:rPr>
          <w:rFonts w:ascii="宋体" w:hAnsi="宋体"/>
          <w:color w:val="auto"/>
          <w:highlight w:val="none"/>
        </w:rPr>
      </w:pPr>
      <w:r>
        <w:rPr>
          <w:rFonts w:hint="eastAsia" w:ascii="宋体" w:hAnsi="宋体"/>
          <w:color w:val="auto"/>
          <w:highlight w:val="none"/>
        </w:rPr>
        <w:t xml:space="preserve">    （1</w:t>
      </w:r>
      <w:r>
        <w:rPr>
          <w:rFonts w:ascii="宋体" w:hAnsi="宋体"/>
          <w:color w:val="auto"/>
          <w:highlight w:val="none"/>
          <w:lang w:val="en"/>
        </w:rPr>
        <w:t xml:space="preserve">1</w:t>
      </w:r>
      <w:r>
        <w:rPr>
          <w:rFonts w:hint="eastAsia" w:ascii="宋体" w:hAnsi="宋体"/>
          <w:color w:val="auto"/>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shd w:val="clear" w:color="auto"/>
        <w:rPr>
          <w:rFonts w:ascii="宋体" w:hAnsi="宋体"/>
          <w:color w:val="auto"/>
          <w:highlight w:val="none"/>
        </w:rPr>
      </w:pPr>
      <w:r>
        <w:rPr>
          <w:rFonts w:ascii="Wingdings" w:hAnsi="Wingdings" w:eastAsia="Wingdings" w:cs="Wingdings"/>
          <w:color w:val="auto"/>
          <w:highlight w:val="none"/>
        </w:rPr>
        <w:t xml:space="preserve">þ</w:t>
      </w:r>
      <w:r>
        <w:rPr>
          <w:rFonts w:hint="eastAsia" w:ascii="宋体" w:hAnsi="宋体"/>
          <w:color w:val="auto"/>
          <w:highlight w:val="none"/>
        </w:rPr>
        <w:t xml:space="preserve">是       </w:t>
      </w:r>
      <w:r>
        <w:rPr>
          <w:rFonts w:ascii="Wingdings" w:hAnsi="Wingdings" w:eastAsia="Wingdings" w:cs="Wingdings"/>
          <w:color w:val="auto"/>
          <w:highlight w:val="none"/>
        </w:rPr>
        <w:t xml:space="preserve">¨</w:t>
      </w:r>
      <w:r>
        <w:rPr>
          <w:rFonts w:hint="eastAsia" w:ascii="宋体" w:hAnsi="宋体"/>
          <w:color w:val="auto"/>
          <w:highlight w:val="none"/>
        </w:rPr>
        <w:t xml:space="preserve">否      </w:t>
      </w:r>
      <w:r>
        <w:rPr>
          <w:rFonts w:ascii="Wingdings" w:hAnsi="Wingdings" w:eastAsia="Wingdings" w:cs="Wingdings"/>
          <w:color w:val="auto"/>
          <w:highlight w:val="none"/>
        </w:rPr>
        <w:t xml:space="preserve">¨</w:t>
      </w:r>
      <w:r>
        <w:rPr>
          <w:rFonts w:hint="eastAsia" w:ascii="宋体" w:hAnsi="宋体"/>
          <w:color w:val="auto"/>
          <w:highlight w:val="none"/>
        </w:rPr>
        <w:t xml:space="preserve">不涉及</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合同金额</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（1）合同金额小写：</w:t>
      </w:r>
      <w:r>
        <w:rPr>
          <w:rFonts w:hint="eastAsia" w:ascii="宋体" w:hAnsi="宋体"/>
          <w:color w:val="auto"/>
          <w:highlight w:val="none"/>
          <w:u w:val="single"/>
        </w:rPr>
        <w:t xml:space="preserve">                           </w:t>
      </w:r>
      <w:r/>
    </w:p>
    <w:p>
      <w:pPr>
        <w:spacing w:line="400" w:lineRule="exact"/>
        <w:shd w:val="clear" w:color="auto"/>
        <w:rPr>
          <w:rFonts w:ascii="宋体" w:hAnsi="宋体"/>
          <w:color w:val="auto"/>
          <w:highlight w:val="none"/>
          <w:u w:val="single"/>
        </w:rPr>
      </w:pPr>
      <w:r>
        <w:rPr>
          <w:rFonts w:hint="eastAsia" w:ascii="宋体" w:hAnsi="宋体"/>
          <w:color w:val="auto"/>
          <w:highlight w:val="none"/>
        </w:rPr>
        <w:t xml:space="preserve">                 大写：</w:t>
      </w:r>
      <w:r>
        <w:rPr>
          <w:rFonts w:hint="eastAsia" w:ascii="宋体" w:hAnsi="宋体"/>
          <w:color w:val="auto"/>
          <w:highlight w:val="none"/>
          <w:u w:val="single"/>
        </w:rPr>
        <w:t xml:space="preserve">                           </w:t>
      </w:r>
      <w:r/>
    </w:p>
    <w:p>
      <w:pPr>
        <w:ind w:firstLine="630"/>
        <w:spacing w:line="400" w:lineRule="exact"/>
        <w:shd w:val="clear" w:color="auto"/>
        <w:rPr>
          <w:rFonts w:ascii="宋体" w:hAnsi="宋体"/>
          <w:color w:val="auto"/>
          <w:highlight w:val="none"/>
        </w:rPr>
      </w:pPr>
      <w:r>
        <w:rPr>
          <w:rFonts w:hint="eastAsia" w:ascii="宋体" w:hAnsi="宋体"/>
          <w:color w:val="auto"/>
          <w:highlight w:val="none"/>
        </w:rPr>
        <w:t xml:space="preserve">分包金额（如有）小写：</w:t>
      </w:r>
      <w:r>
        <w:rPr>
          <w:rFonts w:hint="eastAsia" w:ascii="宋体" w:hAnsi="宋体"/>
          <w:color w:val="auto"/>
          <w:highlight w:val="none"/>
          <w:u w:val="single"/>
        </w:rPr>
        <w:t xml:space="preserve">                      </w:t>
      </w:r>
      <w:r/>
    </w:p>
    <w:p>
      <w:pPr>
        <w:spacing w:line="400" w:lineRule="exact"/>
        <w:shd w:val="clear" w:color="auto"/>
        <w:rPr>
          <w:rFonts w:ascii="宋体" w:hAnsi="宋体"/>
          <w:color w:val="auto"/>
          <w:highlight w:val="none"/>
          <w:u w:val="single"/>
        </w:rPr>
      </w:pPr>
      <w:r>
        <w:rPr>
          <w:rFonts w:hint="eastAsia" w:ascii="宋体" w:hAnsi="宋体"/>
          <w:color w:val="auto"/>
          <w:highlight w:val="none"/>
        </w:rPr>
        <w:t xml:space="preserve">                     大写：</w:t>
      </w:r>
      <w:r>
        <w:rPr>
          <w:rFonts w:hint="eastAsia" w:ascii="宋体" w:hAnsi="宋体"/>
          <w:color w:val="auto"/>
          <w:highlight w:val="none"/>
          <w:u w:val="single"/>
        </w:rPr>
        <w:t xml:space="preserve">                       </w:t>
      </w:r>
      <w:r/>
    </w:p>
    <w:p>
      <w:pPr>
        <w:spacing w:line="400" w:lineRule="exact"/>
        <w:shd w:val="clear" w:color="auto"/>
        <w:rPr>
          <w:rFonts w:ascii="宋体" w:hAnsi="宋体"/>
          <w:color w:val="auto"/>
          <w:highlight w:val="none"/>
        </w:rPr>
      </w:pPr>
      <w:r>
        <w:rPr>
          <w:rFonts w:hint="eastAsia" w:ascii="宋体" w:hAnsi="宋体"/>
          <w:color w:val="auto"/>
          <w:highlight w:val="none"/>
        </w:rPr>
        <w:t xml:space="preserve">    （注：固定单价合同应填写单价和最高限价）</w:t>
      </w:r>
      <w:r/>
    </w:p>
    <w:p>
      <w:pPr>
        <w:spacing w:line="400" w:lineRule="exact"/>
        <w:shd w:val="clear" w:color="auto"/>
        <w:rPr>
          <w:rFonts w:ascii="宋体" w:hAnsi="宋体"/>
          <w:color w:val="auto"/>
          <w:highlight w:val="none"/>
        </w:rPr>
      </w:pPr>
      <w:r>
        <w:rPr>
          <w:rFonts w:hint="eastAsia" w:ascii="宋体" w:hAnsi="宋体"/>
          <w:color w:val="auto"/>
          <w:highlight w:val="none"/>
        </w:rPr>
        <w:t xml:space="preserve">    （2）合同定价方式（采用组合定价方式的，可以勾选多项）：</w:t>
      </w:r>
      <w:r/>
    </w:p>
    <w:p>
      <w:pPr>
        <w:ind w:firstLine="420"/>
        <w:spacing w:line="400" w:lineRule="exact"/>
        <w:shd w:val="clear" w:color="auto"/>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固定总价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固定单价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固定费率 </w:t>
      </w:r>
      <w:r>
        <w:rPr>
          <w:rFonts w:ascii="Wingdings" w:hAnsi="Wingdings" w:eastAsia="Wingdings" w:cs="Wingdings"/>
          <w:iCs/>
          <w:color w:val="auto"/>
          <w:highlight w:val="none"/>
        </w:rPr>
        <w:t xml:space="preserve">¨</w:t>
      </w:r>
      <w:r>
        <w:rPr>
          <w:rFonts w:hint="eastAsia" w:ascii="宋体" w:hAnsi="宋体"/>
          <w:iCs/>
          <w:color w:val="auto"/>
          <w:highlight w:val="none"/>
        </w:rPr>
        <w:t xml:space="preserve">成本补偿 </w:t>
      </w:r>
      <w:r>
        <w:rPr>
          <w:rFonts w:ascii="Wingdings" w:hAnsi="Wingdings" w:eastAsia="Wingdings" w:cs="Wingdings"/>
          <w:iCs/>
          <w:color w:val="auto"/>
          <w:highlight w:val="none"/>
        </w:rPr>
        <w:t xml:space="preserve">¨</w:t>
      </w:r>
      <w:r>
        <w:rPr>
          <w:rFonts w:hint="eastAsia" w:ascii="宋体" w:hAnsi="宋体"/>
          <w:iCs/>
          <w:color w:val="auto"/>
          <w:highlight w:val="none"/>
        </w:rPr>
        <w:t xml:space="preserve">绩效激励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其他</w:t>
      </w:r>
      <w:r>
        <w:rPr>
          <w:rFonts w:hint="eastAsia" w:ascii="宋体" w:hAnsi="宋体"/>
          <w:color w:val="auto"/>
          <w:highlight w:val="none"/>
          <w:u w:val="single"/>
        </w:rPr>
        <w:t xml:space="preserve">       </w:t>
      </w:r>
      <w:r/>
    </w:p>
    <w:p>
      <w:pPr>
        <w:pStyle w:val="1280"/>
        <w:ind w:left="0" w:firstLine="420"/>
        <w:spacing w:line="400" w:lineRule="exact"/>
        <w:shd w:val="clear" w:color="auto"/>
        <w:rPr>
          <w:color w:val="auto"/>
          <w:sz w:val="21"/>
          <w:szCs w:val="21"/>
          <w:highlight w:val="none"/>
          <w:lang w:eastAsia="zh-CN"/>
        </w:rPr>
      </w:pPr>
      <w:r>
        <w:rPr>
          <w:rFonts w:hint="eastAsia" w:ascii="宋体" w:hAnsi="宋体"/>
          <w:color w:val="auto"/>
          <w:sz w:val="21"/>
          <w:szCs w:val="21"/>
          <w:highlight w:val="none"/>
          <w:lang w:eastAsia="zh-CN"/>
        </w:rPr>
        <w:t xml:space="preserve">（3）付款方式（按项目实际勾选填写）：</w:t>
      </w:r>
      <w:r/>
    </w:p>
    <w:p>
      <w:pPr>
        <w:ind w:firstLine="630"/>
        <w:spacing w:line="400" w:lineRule="exact"/>
        <w:shd w:val="clear" w:color="auto"/>
        <w:rPr>
          <w:rFonts w:ascii="宋体" w:hAnsi="宋体"/>
          <w:color w:val="auto"/>
          <w:highlight w:val="none"/>
          <w:u w:val="single"/>
        </w:rPr>
      </w:pPr>
      <w:r>
        <w:rPr>
          <w:rFonts w:ascii="Wingdings" w:hAnsi="Wingdings" w:eastAsia="Wingdings" w:cs="Wingdings"/>
          <w:color w:val="auto"/>
          <w:highlight w:val="none"/>
        </w:rPr>
        <w:t xml:space="preserve">¨</w:t>
      </w:r>
      <w:r>
        <w:rPr>
          <w:rFonts w:hint="eastAsia" w:ascii="宋体" w:hAnsi="宋体"/>
          <w:color w:val="auto"/>
          <w:highlight w:val="none"/>
        </w:rPr>
        <w:t xml:space="preserve">全额付款：</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w:t>
      </w:r>
      <w:r>
        <w:rPr>
          <w:rFonts w:hint="eastAsia" w:ascii="宋体" w:hAnsi="宋体"/>
          <w:color w:val="auto"/>
          <w:highlight w:val="none"/>
          <w:u w:val="single"/>
        </w:rPr>
        <w:t xml:space="preserve">                   </w:t>
      </w:r>
      <w:r/>
    </w:p>
    <w:p>
      <w:pPr>
        <w:ind w:firstLine="630"/>
        <w:spacing w:line="400" w:lineRule="exact"/>
        <w:shd w:val="clear" w:color="auto"/>
        <w:rPr>
          <w:rFonts w:hint="eastAsia" w:ascii="宋体" w:hAnsi="宋体"/>
          <w:color w:val="auto"/>
          <w:highlight w:val="none"/>
          <w:u w:val="single"/>
        </w:rPr>
      </w:pPr>
      <w:r>
        <w:rPr>
          <w:rFonts w:ascii="Wingdings" w:hAnsi="Wingdings" w:eastAsia="Wingdings" w:cs="Wingdings"/>
          <w:color w:val="auto"/>
          <w:highlight w:val="none"/>
        </w:rPr>
        <w:t xml:space="preserve">þ</w:t>
      </w:r>
      <w:r>
        <w:rPr>
          <w:rFonts w:hint="eastAsia" w:ascii="宋体" w:hAnsi="宋体"/>
          <w:color w:val="auto"/>
          <w:highlight w:val="none"/>
        </w:rPr>
        <w:t xml:space="preserve">分期付款：</w:t>
      </w:r>
      <w:r>
        <w:rPr>
          <w:rFonts w:hint="eastAsia" w:ascii="宋体" w:hAnsi="宋体"/>
          <w:color w:val="auto"/>
          <w:highlight w:val="none"/>
          <w:u w:val="single"/>
        </w:rPr>
        <w:t xml:space="preserve">预付款：签订合同并收到中标单位发票10个工作日内支付第一年合同价款的30%；</w:t>
      </w:r>
      <w:r/>
    </w:p>
    <w:p>
      <w:pPr>
        <w:ind w:firstLine="630"/>
        <w:spacing w:line="400" w:lineRule="exact"/>
        <w:shd w:val="clear" w:color="auto"/>
        <w:rPr>
          <w:rFonts w:hint="eastAsia" w:ascii="宋体" w:hAnsi="宋体"/>
          <w:color w:val="auto"/>
          <w:highlight w:val="none"/>
          <w:u w:val="single"/>
        </w:rPr>
      </w:pPr>
      <w:r>
        <w:rPr>
          <w:rFonts w:hint="eastAsia" w:ascii="宋体" w:hAnsi="宋体"/>
          <w:color w:val="auto"/>
          <w:highlight w:val="none"/>
          <w:u w:val="single"/>
        </w:rPr>
        <w:t xml:space="preserve">进度款：每次项目完成，收到中标单位发票10个工作日内，支付至当次合同价款(单价×实际完成数量)的100%。（合同款支付方式可采用数字人民币支付）</w:t>
      </w:r>
      <w:r/>
    </w:p>
    <w:p>
      <w:pPr>
        <w:ind w:firstLine="630"/>
        <w:spacing w:line="400" w:lineRule="exact"/>
        <w:shd w:val="clear" w:color="auto"/>
        <w:rPr>
          <w:rFonts w:hint="eastAsia" w:ascii="宋体" w:hAnsi="宋体"/>
          <w:color w:val="auto"/>
          <w:highlight w:val="none"/>
          <w:u w:val="single"/>
        </w:rPr>
      </w:pPr>
      <w:r>
        <w:rPr>
          <w:rFonts w:hint="eastAsia" w:ascii="宋体" w:hAnsi="宋体"/>
          <w:color w:val="auto"/>
          <w:highlight w:val="none"/>
          <w:u w:val="single"/>
        </w:rPr>
        <w:t xml:space="preserve">资金支付的时间：收到中标单位发票10个工作日内；</w:t>
      </w:r>
      <w:r/>
    </w:p>
    <w:p>
      <w:pPr>
        <w:ind w:firstLine="630"/>
        <w:spacing w:line="400" w:lineRule="exact"/>
        <w:shd w:val="clear" w:color="auto"/>
        <w:rPr>
          <w:rFonts w:hint="eastAsia" w:ascii="宋体" w:hAnsi="宋体"/>
          <w:color w:val="auto"/>
          <w:highlight w:val="none"/>
          <w:u w:val="single"/>
        </w:rPr>
      </w:pPr>
      <w:r>
        <w:rPr>
          <w:rFonts w:hint="eastAsia" w:ascii="宋体" w:hAnsi="宋体"/>
          <w:color w:val="auto"/>
          <w:highlight w:val="none"/>
          <w:u w:val="single"/>
        </w:rPr>
        <w:t xml:space="preserve">资金支付的条件：满足相应阶段的要求且收到中标单位发票；</w:t>
      </w:r>
      <w:r/>
    </w:p>
    <w:p>
      <w:pPr>
        <w:ind w:firstLine="630"/>
        <w:spacing w:line="400" w:lineRule="exact"/>
        <w:shd w:val="clear" w:color="auto"/>
        <w:rPr>
          <w:rFonts w:hint="eastAsia" w:ascii="宋体" w:hAnsi="宋体"/>
          <w:color w:val="auto"/>
          <w:highlight w:val="none"/>
          <w:u w:val="single"/>
        </w:rPr>
      </w:pPr>
      <w:r>
        <w:rPr>
          <w:rFonts w:hint="eastAsia" w:ascii="宋体" w:hAnsi="宋体"/>
          <w:color w:val="auto"/>
          <w:highlight w:val="none"/>
          <w:u w:val="single"/>
        </w:rPr>
        <w:t xml:space="preserve">注：在签订合同时，中标单位明确表示无需预付款或者主动要求降低预付款比例的金额，采购人可不适用前述规定。</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备注：</w:t>
      </w:r>
      <w:r/>
    </w:p>
    <w:p>
      <w:pPr>
        <w:ind w:firstLine="210"/>
        <w:spacing w:line="400" w:lineRule="exact"/>
        <w:shd w:val="clear" w:color="auto"/>
        <w:rPr>
          <w:rFonts w:ascii="宋体" w:hAnsi="宋体"/>
          <w:color w:val="auto"/>
          <w:highlight w:val="none"/>
          <w:lang w:val="zh-CN"/>
        </w:rPr>
      </w:pPr>
      <w:r>
        <w:rPr>
          <w:rFonts w:hint="eastAsia" w:ascii="宋体" w:hAnsi="宋体"/>
          <w:color w:val="auto"/>
          <w:highlight w:val="none"/>
        </w:rPr>
        <w:t xml:space="preserve">（1）可以采用数字人民币支付；</w:t>
      </w:r>
      <w:r/>
    </w:p>
    <w:p>
      <w:pPr>
        <w:ind w:firstLine="210"/>
        <w:spacing w:line="400" w:lineRule="exact"/>
        <w:shd w:val="clear" w:color="auto"/>
        <w:rPr>
          <w:rFonts w:ascii="宋体" w:hAnsi="宋体"/>
          <w:color w:val="auto"/>
          <w:highlight w:val="none"/>
          <w:lang w:val="zh-CN"/>
        </w:rPr>
      </w:pPr>
      <w:r>
        <w:rPr>
          <w:rFonts w:hint="eastAsia" w:ascii="宋体" w:hAnsi="宋体"/>
          <w:color w:val="auto"/>
          <w:highlight w:val="none"/>
          <w:lang w:val="zh-CN"/>
        </w:rPr>
        <w:t xml:space="preserve">（</w:t>
      </w:r>
      <w:r>
        <w:rPr>
          <w:rFonts w:hint="eastAsia" w:ascii="宋体" w:hAnsi="宋体"/>
          <w:color w:val="auto"/>
          <w:highlight w:val="none"/>
        </w:rPr>
        <w:t xml:space="preserve">2</w:t>
      </w:r>
      <w:r>
        <w:rPr>
          <w:rFonts w:hint="eastAsia" w:ascii="宋体" w:hAnsi="宋体"/>
          <w:color w:val="auto"/>
          <w:highlight w:val="none"/>
          <w:lang w:val="zh-CN"/>
        </w:rPr>
        <w:t xml:space="preserve">）资金支付的</w:t>
      </w:r>
      <w:r>
        <w:rPr>
          <w:rFonts w:hint="eastAsia" w:ascii="宋体" w:hAnsi="宋体"/>
          <w:color w:val="auto"/>
          <w:highlight w:val="none"/>
        </w:rPr>
        <w:t xml:space="preserve">时间</w:t>
      </w:r>
      <w:r>
        <w:rPr>
          <w:rFonts w:hint="eastAsia" w:ascii="宋体" w:hAnsi="宋体"/>
          <w:color w:val="auto"/>
          <w:highlight w:val="none"/>
          <w:lang w:val="zh-CN"/>
        </w:rPr>
        <w:t xml:space="preserve">：</w:t>
      </w:r>
      <w:r>
        <w:rPr>
          <w:rFonts w:hint="eastAsia" w:ascii="宋体" w:hAnsi="宋体"/>
          <w:color w:val="auto"/>
          <w:highlight w:val="none"/>
        </w:rPr>
        <w:t xml:space="preserve">收到</w:t>
      </w:r>
      <w:r>
        <w:rPr>
          <w:rFonts w:hint="eastAsia" w:ascii="宋体" w:hAnsi="宋体"/>
          <w:color w:val="auto"/>
          <w:highlight w:val="none"/>
          <w:lang w:eastAsia="zh-CN"/>
        </w:rPr>
        <w:t xml:space="preserve">投标人</w:t>
      </w:r>
      <w:r>
        <w:rPr>
          <w:rFonts w:hint="eastAsia" w:ascii="宋体" w:hAnsi="宋体"/>
          <w:color w:val="auto"/>
          <w:highlight w:val="none"/>
        </w:rPr>
        <w:t xml:space="preserve">发票10个工作日内</w:t>
      </w:r>
      <w:r>
        <w:rPr>
          <w:rFonts w:hint="eastAsia" w:ascii="宋体" w:hAnsi="宋体"/>
          <w:color w:val="auto"/>
          <w:highlight w:val="none"/>
          <w:lang w:val="zh-CN"/>
        </w:rPr>
        <w:t xml:space="preserve">；</w:t>
      </w:r>
      <w:r/>
    </w:p>
    <w:p>
      <w:pPr>
        <w:ind w:firstLine="210"/>
        <w:spacing w:line="400" w:lineRule="exact"/>
        <w:shd w:val="clear" w:color="auto"/>
        <w:rPr>
          <w:rFonts w:ascii="宋体" w:hAnsi="宋体"/>
          <w:color w:val="auto"/>
          <w:highlight w:val="none"/>
        </w:rPr>
      </w:pPr>
      <w:r>
        <w:rPr>
          <w:rFonts w:hint="eastAsia" w:ascii="宋体" w:hAnsi="宋体"/>
          <w:color w:val="auto"/>
          <w:highlight w:val="none"/>
          <w:lang w:val="zh-CN"/>
        </w:rPr>
        <w:t xml:space="preserve">（</w:t>
      </w:r>
      <w:r>
        <w:rPr>
          <w:rFonts w:hint="eastAsia" w:ascii="宋体" w:hAnsi="宋体"/>
          <w:color w:val="auto"/>
          <w:highlight w:val="none"/>
        </w:rPr>
        <w:t xml:space="preserve">3</w:t>
      </w:r>
      <w:r>
        <w:rPr>
          <w:rFonts w:hint="eastAsia" w:ascii="宋体" w:hAnsi="宋体"/>
          <w:color w:val="auto"/>
          <w:highlight w:val="none"/>
          <w:lang w:val="zh-CN"/>
        </w:rPr>
        <w:t xml:space="preserve">）资金支付</w:t>
      </w:r>
      <w:r>
        <w:rPr>
          <w:rFonts w:hint="eastAsia" w:ascii="宋体" w:hAnsi="宋体"/>
          <w:color w:val="auto"/>
          <w:highlight w:val="none"/>
        </w:rPr>
        <w:t xml:space="preserve">的条件：满足相应阶段的要求且收到</w:t>
      </w:r>
      <w:r>
        <w:rPr>
          <w:rFonts w:hint="eastAsia" w:ascii="宋体" w:hAnsi="宋体"/>
          <w:color w:val="auto"/>
          <w:highlight w:val="none"/>
          <w:lang w:eastAsia="zh-CN"/>
        </w:rPr>
        <w:t xml:space="preserve">投标人</w:t>
      </w:r>
      <w:r>
        <w:rPr>
          <w:rFonts w:hint="eastAsia" w:ascii="宋体" w:hAnsi="宋体"/>
          <w:color w:val="auto"/>
          <w:highlight w:val="none"/>
        </w:rPr>
        <w:t xml:space="preserve">发票；</w:t>
      </w:r>
      <w:r/>
    </w:p>
    <w:p>
      <w:pPr>
        <w:ind w:firstLine="210"/>
        <w:spacing w:line="400" w:lineRule="exact"/>
        <w:shd w:val="clear" w:color="auto"/>
        <w:rPr>
          <w:rFonts w:ascii="宋体" w:hAnsi="宋体"/>
          <w:color w:val="auto"/>
          <w:highlight w:val="none"/>
          <w:lang w:val="zh-CN"/>
        </w:rPr>
      </w:pPr>
      <w:r>
        <w:rPr>
          <w:rFonts w:hint="eastAsia" w:ascii="宋体" w:hAnsi="宋体"/>
          <w:color w:val="auto"/>
          <w:highlight w:val="none"/>
        </w:rPr>
        <w:t xml:space="preserve">（4）</w:t>
      </w:r>
      <w:r>
        <w:rPr>
          <w:rFonts w:hint="eastAsia" w:ascii="宋体" w:hAnsi="宋体"/>
          <w:color w:val="auto"/>
          <w:highlight w:val="none"/>
          <w:lang w:val="zh-CN"/>
        </w:rPr>
        <w:t xml:space="preserve">当采购数量与实际使用数量不一致时，</w:t>
      </w:r>
      <w:r>
        <w:rPr>
          <w:rFonts w:hint="eastAsia" w:ascii="宋体" w:hAnsi="宋体"/>
          <w:color w:val="auto"/>
          <w:highlight w:val="none"/>
          <w:lang w:eastAsia="zh-CN"/>
        </w:rPr>
        <w:t xml:space="preserve">投标人</w:t>
      </w:r>
      <w:r>
        <w:rPr>
          <w:rFonts w:hint="eastAsia" w:ascii="宋体" w:hAnsi="宋体"/>
          <w:color w:val="auto"/>
          <w:highlight w:val="none"/>
          <w:lang w:val="zh-CN"/>
        </w:rPr>
        <w:t xml:space="preserve">应根据实际使用量供货，合同的最终结算金额按实际使用量乘以成交单价进行计算；</w:t>
      </w:r>
      <w:r/>
    </w:p>
    <w:p>
      <w:pPr>
        <w:ind w:firstLine="210"/>
        <w:spacing w:line="400" w:lineRule="exact"/>
        <w:shd w:val="clear" w:color="auto"/>
        <w:rPr>
          <w:rFonts w:ascii="宋体" w:hAnsi="宋体"/>
          <w:color w:val="auto"/>
          <w:highlight w:val="none"/>
        </w:rPr>
      </w:pPr>
      <w:r>
        <w:rPr>
          <w:rFonts w:hint="eastAsia" w:ascii="宋体" w:hAnsi="宋体"/>
          <w:color w:val="auto"/>
          <w:highlight w:val="none"/>
          <w:lang w:val="zh-CN"/>
        </w:rPr>
        <w:t xml:space="preserve">（</w:t>
      </w:r>
      <w:r>
        <w:rPr>
          <w:rFonts w:hint="eastAsia" w:ascii="宋体" w:hAnsi="宋体"/>
          <w:color w:val="auto"/>
          <w:highlight w:val="none"/>
        </w:rPr>
        <w:t xml:space="preserve">5</w:t>
      </w:r>
      <w:r>
        <w:rPr>
          <w:rFonts w:hint="eastAsia" w:ascii="宋体" w:hAnsi="宋体"/>
          <w:color w:val="auto"/>
          <w:highlight w:val="none"/>
          <w:lang w:val="zh-CN"/>
        </w:rPr>
        <w:t xml:space="preserve">）</w:t>
      </w:r>
      <w:r>
        <w:rPr>
          <w:rFonts w:hint="eastAsia" w:ascii="宋体" w:hAnsi="宋体"/>
          <w:color w:val="auto"/>
          <w:highlight w:val="none"/>
        </w:rPr>
        <w:t xml:space="preserve">在签订合同时，</w:t>
      </w:r>
      <w:r>
        <w:rPr>
          <w:rFonts w:hint="eastAsia" w:ascii="宋体" w:hAnsi="宋体"/>
          <w:color w:val="auto"/>
          <w:highlight w:val="none"/>
          <w:lang w:eastAsia="zh-CN"/>
        </w:rPr>
        <w:t xml:space="preserve">投标人</w:t>
      </w:r>
      <w:r>
        <w:rPr>
          <w:rFonts w:hint="eastAsia" w:ascii="宋体" w:hAnsi="宋体"/>
          <w:color w:val="auto"/>
          <w:highlight w:val="none"/>
        </w:rPr>
        <w:t xml:space="preserve">明确表示无需预付款或者主动要求降低预付款比例的，采购人可不适用前述规定。</w:t>
      </w:r>
      <w:r/>
    </w:p>
    <w:p>
      <w:pPr>
        <w:ind w:firstLine="630"/>
        <w:spacing w:line="400" w:lineRule="exact"/>
        <w:shd w:val="clear" w:color="auto"/>
        <w:rPr>
          <w:rFonts w:hint="default" w:ascii="宋体" w:hAnsi="宋体" w:eastAsia="宋体"/>
          <w:color w:val="auto"/>
          <w:highlight w:val="none"/>
          <w:u w:val="single"/>
          <w:lang w:val="en-US" w:eastAsia="zh-CN"/>
        </w:rPr>
      </w:pPr>
      <w:r>
        <w:rPr>
          <w:rFonts w:ascii="Wingdings" w:hAnsi="Wingdings" w:eastAsia="Wingdings" w:cs="Wingdings"/>
          <w:color w:val="auto"/>
          <w:highlight w:val="none"/>
        </w:rPr>
        <w:t xml:space="preserve">¨</w:t>
      </w:r>
      <w:r>
        <w:rPr>
          <w:rFonts w:hint="eastAsia" w:ascii="宋体" w:hAnsi="宋体"/>
          <w:color w:val="auto"/>
          <w:highlight w:val="none"/>
        </w:rPr>
        <w:t xml:space="preserve">成本补偿：</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p>
    <w:p>
      <w:pPr>
        <w:ind w:firstLine="630"/>
        <w:spacing w:line="400" w:lineRule="exact"/>
        <w:shd w:val="clear" w:color="auto"/>
        <w:rPr>
          <w:rFonts w:ascii="宋体" w:hAnsi="宋体"/>
          <w:color w:val="auto"/>
          <w:highlight w:val="none"/>
        </w:rPr>
      </w:pPr>
      <w:r>
        <w:rPr>
          <w:rFonts w:ascii="Wingdings" w:hAnsi="Wingdings" w:eastAsia="Wingdings" w:cs="Wingdings"/>
          <w:color w:val="auto"/>
          <w:highlight w:val="none"/>
        </w:rPr>
        <w:t xml:space="preserve">¨</w:t>
      </w:r>
      <w:r>
        <w:rPr>
          <w:rFonts w:hint="eastAsia" w:ascii="宋体" w:hAnsi="宋体"/>
          <w:color w:val="auto"/>
          <w:highlight w:val="none"/>
        </w:rPr>
        <w:t xml:space="preserve">绩效激励：</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 </w:t>
      </w:r>
      <w:r/>
    </w:p>
    <w:p>
      <w:pPr>
        <w:numPr>
          <w:ilvl w:val="0"/>
          <w:numId w:val="4"/>
        </w:numPr>
        <w:ind w:firstLine="422"/>
        <w:spacing w:line="400" w:lineRule="exact"/>
        <w:shd w:val="clear" w:color="auto"/>
        <w:rPr>
          <w:rFonts w:ascii="宋体" w:hAnsi="宋体"/>
          <w:b/>
          <w:color w:val="auto"/>
          <w:highlight w:val="none"/>
          <w:u w:val="single"/>
        </w:rPr>
      </w:pPr>
      <w:r>
        <w:rPr>
          <w:rFonts w:hint="eastAsia" w:ascii="宋体" w:hAnsi="宋体"/>
          <w:b/>
          <w:color w:val="auto"/>
          <w:highlight w:val="none"/>
        </w:rPr>
        <w:t xml:space="preserve">合同履行</w:t>
      </w:r>
      <w:r/>
    </w:p>
    <w:p>
      <w:pPr>
        <w:ind w:firstLine="420"/>
        <w:spacing w:line="400" w:lineRule="exact"/>
        <w:shd w:val="clear" w:color="auto"/>
        <w:rPr>
          <w:rFonts w:ascii="宋体" w:hAnsi="宋体" w:cs="宋体"/>
          <w:color w:val="auto"/>
          <w:highlight w:val="none"/>
        </w:rPr>
      </w:pPr>
      <w:r>
        <w:rPr>
          <w:rFonts w:hint="eastAsia" w:ascii="宋体" w:hAnsi="宋体" w:cs="宋体"/>
          <w:color w:val="auto"/>
          <w:highlight w:val="none"/>
        </w:rPr>
        <w:t xml:space="preserve">（1）起始日期：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日，完成日期：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ind w:firstLine="420"/>
        <w:spacing w:line="400" w:lineRule="exact"/>
        <w:shd w:val="clear" w:color="auto"/>
        <w:rPr>
          <w:rFonts w:ascii="宋体" w:hAnsi="宋体" w:cs="宋体"/>
          <w:color w:val="auto"/>
          <w:highlight w:val="none"/>
          <w:u w:val="single"/>
        </w:rPr>
      </w:pPr>
      <w:r>
        <w:rPr>
          <w:rFonts w:hint="eastAsia" w:ascii="宋体" w:hAnsi="宋体" w:cs="宋体"/>
          <w:color w:val="auto"/>
          <w:highlight w:val="none"/>
        </w:rPr>
        <w:t xml:space="preserve">（2）履约地点</w:t>
      </w:r>
      <w:r>
        <w:rPr>
          <w:rFonts w:hint="eastAsia" w:ascii="宋体" w:hAnsi="宋体" w:cs="宋体"/>
          <w:bCs/>
          <w:color w:val="auto"/>
          <w:highlight w:val="none"/>
        </w:rPr>
        <w:t xml:space="preserve">：</w:t>
      </w:r>
      <w:r>
        <w:rPr>
          <w:rFonts w:hint="eastAsia" w:ascii="宋体" w:hAnsi="宋体" w:cs="宋体"/>
          <w:color w:val="auto"/>
          <w:highlight w:val="none"/>
          <w:u w:val="single"/>
        </w:rPr>
        <w:t xml:space="preserve"> 采购人指定地点 </w:t>
      </w:r>
      <w:r>
        <w:rPr>
          <w:rFonts w:hint="eastAsia" w:ascii="宋体" w:hAnsi="宋体" w:cs="宋体"/>
          <w:color w:val="auto"/>
          <w:highlight w:val="none"/>
        </w:rPr>
        <w:t xml:space="preserve">。</w:t>
      </w:r>
      <w:r/>
    </w:p>
    <w:p>
      <w:pPr>
        <w:ind w:firstLine="420"/>
        <w:spacing w:line="400" w:lineRule="exact"/>
        <w:shd w:val="clear" w:color="auto"/>
        <w:rPr>
          <w:rFonts w:ascii="宋体" w:hAnsi="宋体" w:cs="宋体"/>
          <w:color w:val="auto"/>
          <w:highlight w:val="none"/>
        </w:rPr>
      </w:pPr>
      <w:r>
        <w:rPr>
          <w:rFonts w:hint="eastAsia" w:ascii="宋体" w:hAnsi="宋体" w:cs="宋体"/>
          <w:bCs/>
          <w:color w:val="auto"/>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highlight w:val="none"/>
        </w:rPr>
        <w:t xml:space="preserve">þ</w:t>
      </w:r>
      <w:r>
        <w:rPr>
          <w:rFonts w:hint="eastAsia" w:ascii="宋体" w:hAnsi="宋体" w:cs="宋体"/>
          <w:color w:val="auto"/>
          <w:highlight w:val="none"/>
        </w:rPr>
        <w:t xml:space="preserve">是    </w:t>
      </w:r>
      <w:r>
        <w:rPr>
          <w:rFonts w:ascii="Wingdings" w:hAnsi="Wingdings" w:eastAsia="Wingdings" w:cs="Wingdings"/>
          <w:color w:val="auto"/>
          <w:highlight w:val="none"/>
        </w:rPr>
        <w:t xml:space="preserve">¨</w:t>
      </w:r>
      <w:r>
        <w:rPr>
          <w:rFonts w:hint="eastAsia" w:ascii="宋体" w:hAnsi="宋体" w:cs="宋体"/>
          <w:color w:val="auto"/>
          <w:highlight w:val="none"/>
        </w:rPr>
        <w:t xml:space="preserve">否</w:t>
      </w:r>
      <w:r/>
    </w:p>
    <w:p>
      <w:pPr>
        <w:pStyle w:val="1331"/>
        <w:shd w:val="clear" w:color="auto"/>
        <w:rPr>
          <w:rFonts w:ascii="宋体" w:hAnsi="宋体" w:eastAsia="宋体" w:cs="宋体"/>
          <w:color w:val="auto"/>
          <w:sz w:val="21"/>
          <w:highlight w:val="none"/>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 xml:space="preserve">  收取履约保证金形式：</w:t>
      </w:r>
      <w:r>
        <w:rPr>
          <w:rFonts w:hint="eastAsia" w:ascii="宋体" w:hAnsi="宋体" w:eastAsia="宋体" w:cs="宋体"/>
          <w:bCs/>
          <w:color w:val="auto"/>
          <w:sz w:val="21"/>
          <w:highlight w:val="none"/>
          <w:u w:val="single"/>
        </w:rPr>
        <w:t xml:space="preserve">                            </w:t>
      </w:r>
      <w:r/>
    </w:p>
    <w:p>
      <w:pPr>
        <w:pStyle w:val="1331"/>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color w:val="auto"/>
          <w:sz w:val="21"/>
          <w:highlight w:val="none"/>
          <w:u w:val="single"/>
        </w:rPr>
        <w:t xml:space="preserve">按采购合同总价的2%（使用江苏政府采购电子履约保函（保险）代替缴纳履约保证金，按采购合同总价的1.2%）计取</w:t>
      </w:r>
      <w:r>
        <w:rPr>
          <w:rFonts w:hint="eastAsia" w:ascii="宋体" w:hAnsi="宋体" w:eastAsia="宋体" w:cs="宋体"/>
          <w:color w:val="auto"/>
          <w:sz w:val="21"/>
          <w:highlight w:val="none"/>
        </w:rPr>
        <w:t xml:space="preserve">。</w:t>
      </w:r>
      <w:r/>
    </w:p>
    <w:p>
      <w:pPr>
        <w:ind w:firstLine="420"/>
        <w:spacing w:line="400" w:lineRule="exact"/>
        <w:shd w:val="clear" w:color="auto"/>
        <w:rPr>
          <w:rFonts w:ascii="宋体" w:hAnsi="宋体" w:cs="宋体"/>
          <w:color w:val="auto"/>
          <w:highlight w:val="none"/>
        </w:rPr>
      </w:pPr>
      <w:r>
        <w:rPr>
          <w:rFonts w:hint="eastAsia" w:ascii="宋体" w:hAnsi="宋体" w:cs="宋体"/>
          <w:bCs/>
          <w:color w:val="auto"/>
          <w:highlight w:val="none"/>
        </w:rPr>
        <w:t xml:space="preserve">    履约担保期限：</w:t>
      </w:r>
      <w:r>
        <w:rPr>
          <w:rFonts w:hint="eastAsia" w:ascii="宋体" w:hAnsi="宋体" w:cs="宋体"/>
          <w:bCs/>
          <w:color w:val="auto"/>
          <w:highlight w:val="none"/>
          <w:u w:val="single"/>
        </w:rPr>
        <w:t xml:space="preserve"> 至项目验收合格之日止 </w:t>
      </w:r>
      <w:r/>
    </w:p>
    <w:p>
      <w:pPr>
        <w:ind w:firstLine="420"/>
        <w:spacing w:line="400" w:lineRule="exact"/>
        <w:shd w:val="clear" w:color="auto"/>
        <w:rPr>
          <w:rFonts w:ascii="宋体" w:hAnsi="宋体" w:cs="宋体"/>
          <w:bCs/>
          <w:color w:val="auto"/>
          <w:highlight w:val="none"/>
        </w:rPr>
      </w:pPr>
      <w:r>
        <w:rPr>
          <w:rFonts w:hint="eastAsia" w:ascii="宋体" w:hAnsi="宋体" w:cs="宋体"/>
          <w:bCs/>
          <w:color w:val="auto"/>
          <w:highlight w:val="none"/>
        </w:rPr>
        <w:t xml:space="preserve">（4）分期履行要求：</w:t>
      </w:r>
      <w:r>
        <w:rPr>
          <w:rFonts w:hint="eastAsia" w:ascii="宋体" w:hAnsi="宋体" w:cs="宋体"/>
          <w:bCs/>
          <w:color w:val="auto"/>
          <w:highlight w:val="none"/>
          <w:u w:val="single"/>
        </w:rPr>
        <w:t xml:space="preserve">                                                        </w:t>
      </w:r>
      <w:r/>
    </w:p>
    <w:p>
      <w:pPr>
        <w:ind w:firstLine="420"/>
        <w:spacing w:line="400" w:lineRule="exact"/>
        <w:shd w:val="clear" w:color="auto"/>
        <w:rPr>
          <w:rFonts w:ascii="宋体" w:hAnsi="宋体" w:cs="宋体"/>
          <w:color w:val="auto"/>
          <w:highlight w:val="none"/>
          <w:u w:val="single"/>
        </w:rPr>
      </w:pPr>
      <w:r>
        <w:rPr>
          <w:rFonts w:hint="eastAsia" w:ascii="宋体" w:hAnsi="宋体" w:cs="宋体"/>
          <w:bCs/>
          <w:color w:val="auto"/>
          <w:highlight w:val="none"/>
        </w:rPr>
        <w:t xml:space="preserve">（5）风险处置措施和替代方案：</w:t>
      </w:r>
      <w:r>
        <w:rPr>
          <w:rFonts w:hint="eastAsia" w:ascii="宋体" w:hAnsi="宋体" w:cs="宋体"/>
          <w:color w:val="auto"/>
          <w:highlight w:val="none"/>
          <w:u w:val="single"/>
        </w:rPr>
        <w:t xml:space="preserve">                                              </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合同验收</w:t>
      </w:r>
      <w:r/>
    </w:p>
    <w:p>
      <w:pPr>
        <w:numPr>
          <w:ilvl w:val="0"/>
          <w:numId w:val="6"/>
        </w:numPr>
        <w:ind w:firstLine="420"/>
        <w:spacing w:line="400" w:lineRule="exact"/>
        <w:shd w:val="clear" w:color="auto"/>
        <w:rPr>
          <w:rFonts w:ascii="宋体" w:hAnsi="宋体"/>
          <w:bCs/>
          <w:color w:val="auto"/>
          <w:highlight w:val="none"/>
        </w:rPr>
      </w:pPr>
      <w:r>
        <w:rPr>
          <w:rFonts w:hint="eastAsia" w:ascii="宋体" w:hAnsi="宋体"/>
          <w:bCs/>
          <w:color w:val="auto"/>
          <w:highlight w:val="none"/>
        </w:rPr>
        <w:t xml:space="preserve">验收组织方式：</w:t>
      </w:r>
      <w:r>
        <w:rPr>
          <w:rFonts w:ascii="Wingdings" w:hAnsi="Wingdings" w:eastAsia="Wingdings" w:cs="Wingdings"/>
          <w:color w:val="auto"/>
          <w:highlight w:val="none"/>
        </w:rPr>
        <w:t xml:space="preserve">þ</w:t>
      </w:r>
      <w:r>
        <w:rPr>
          <w:rFonts w:hint="eastAsia" w:ascii="宋体" w:hAnsi="宋体"/>
          <w:bCs/>
          <w:color w:val="auto"/>
          <w:highlight w:val="none"/>
        </w:rPr>
        <w:t xml:space="preserve">自行组织 </w:t>
      </w:r>
      <w:r>
        <w:rPr>
          <w:rFonts w:ascii="Wingdings" w:hAnsi="Wingdings" w:eastAsia="Wingdings" w:cs="Wingdings"/>
          <w:color w:val="auto"/>
          <w:highlight w:val="none"/>
        </w:rPr>
        <w:t xml:space="preserve">¨</w:t>
      </w:r>
      <w:r>
        <w:rPr>
          <w:rFonts w:hint="eastAsia" w:ascii="宋体" w:hAnsi="宋体"/>
          <w:bCs/>
          <w:color w:val="auto"/>
          <w:highlight w:val="none"/>
        </w:rPr>
        <w:t xml:space="preserve">委托第三方组织</w:t>
      </w:r>
      <w:r/>
    </w:p>
    <w:p>
      <w:pPr>
        <w:spacing w:line="400" w:lineRule="exact"/>
        <w:shd w:val="clear" w:color="auto"/>
        <w:rPr>
          <w:rFonts w:ascii="宋体" w:hAnsi="宋体"/>
          <w:bCs/>
          <w:color w:val="auto"/>
          <w:highlight w:val="none"/>
        </w:rPr>
      </w:pPr>
      <w:r>
        <w:rPr>
          <w:rFonts w:hint="eastAsia" w:ascii="宋体" w:hAnsi="宋体"/>
          <w:bCs/>
          <w:color w:val="auto"/>
          <w:highlight w:val="none"/>
        </w:rPr>
        <w:t xml:space="preserve">         验收主体：</w:t>
      </w:r>
      <w:r>
        <w:rPr>
          <w:rFonts w:hint="eastAsia" w:ascii="宋体" w:hAnsi="宋体"/>
          <w:bCs/>
          <w:color w:val="auto"/>
          <w:highlight w:val="none"/>
          <w:u w:val="single"/>
        </w:rPr>
        <w:t xml:space="preserve">           </w:t>
      </w:r>
      <w:r/>
    </w:p>
    <w:p>
      <w:pPr>
        <w:spacing w:line="400" w:lineRule="exact"/>
        <w:shd w:val="clear" w:color="auto"/>
        <w:rPr>
          <w:rFonts w:ascii="宋体" w:hAnsi="宋体"/>
          <w:bCs/>
          <w:color w:val="auto"/>
          <w:highlight w:val="none"/>
        </w:rPr>
      </w:pPr>
      <w:r>
        <w:rPr>
          <w:rFonts w:hint="eastAsia" w:ascii="宋体" w:hAnsi="宋体"/>
          <w:bCs/>
          <w:color w:val="auto"/>
          <w:highlight w:val="none"/>
        </w:rPr>
        <w:t xml:space="preserve">        是否邀请本项目的其他</w:t>
      </w:r>
      <w:r>
        <w:rPr>
          <w:rFonts w:hint="eastAsia" w:ascii="宋体" w:hAnsi="宋体"/>
          <w:bCs/>
          <w:color w:val="auto"/>
          <w:highlight w:val="none"/>
          <w:lang w:eastAsia="zh-CN"/>
        </w:rPr>
        <w:t xml:space="preserve">投标人</w:t>
      </w:r>
      <w:r>
        <w:rPr>
          <w:rFonts w:hint="eastAsia" w:ascii="宋体" w:hAnsi="宋体"/>
          <w:bCs/>
          <w:color w:val="auto"/>
          <w:highlight w:val="none"/>
        </w:rPr>
        <w:t xml:space="preserve">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是否邀请专家参加验收：</w:t>
      </w:r>
      <w:r>
        <w:rPr>
          <w:rFonts w:ascii="Wingdings" w:hAnsi="Wingdings" w:eastAsia="Wingdings" w:cs="Wingdings"/>
          <w:color w:val="auto"/>
          <w:highlight w:val="none"/>
        </w:rPr>
        <w:t xml:space="preserve">þ</w:t>
      </w:r>
      <w:r>
        <w:rPr>
          <w:rFonts w:hint="eastAsia" w:ascii="宋体" w:hAnsi="宋体"/>
          <w:bCs/>
          <w:color w:val="auto"/>
          <w:highlight w:val="none"/>
        </w:rPr>
        <w:t xml:space="preserve">是  </w:t>
      </w:r>
      <w:r>
        <w:rPr>
          <w:rFonts w:ascii="Wingdings" w:hAnsi="Wingdings" w:eastAsia="Wingdings" w:cs="Wingdings"/>
          <w:color w:val="auto"/>
          <w:highlight w:val="none"/>
        </w:rPr>
        <w:t xml:space="preserve">¨</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是否邀请服务对象参加验收：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是否邀请第三方检测机构参加验收：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是否进行抽查检测：</w:t>
      </w:r>
      <w:r>
        <w:rPr>
          <w:rFonts w:ascii="Wingdings" w:hAnsi="Wingdings" w:eastAsia="Wingdings" w:cs="Wingdings"/>
          <w:color w:val="auto"/>
          <w:highlight w:val="none"/>
        </w:rPr>
        <w:t xml:space="preserve">¨</w:t>
      </w:r>
      <w:r>
        <w:rPr>
          <w:rFonts w:hint="eastAsia" w:ascii="宋体" w:hAnsi="宋体"/>
          <w:bCs/>
          <w:color w:val="auto"/>
          <w:highlight w:val="none"/>
        </w:rPr>
        <w:t xml:space="preserve">是，抽查比例：</w:t>
      </w:r>
      <w:r>
        <w:rPr>
          <w:rFonts w:hint="eastAsia" w:ascii="宋体" w:hAnsi="宋体"/>
          <w:bCs/>
          <w:color w:val="auto"/>
          <w:highlight w:val="none"/>
          <w:u w:val="single"/>
        </w:rPr>
        <w:t xml:space="preserve">        </w:t>
      </w:r>
      <w:r>
        <w:rPr>
          <w:rFonts w:hint="eastAsia" w:ascii="宋体" w:hAnsi="宋体"/>
          <w:bCs/>
          <w:color w:val="auto"/>
          <w:highlight w:val="none"/>
        </w:rPr>
        <w:t xml:space="preserve">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是否存在破坏性检测：</w:t>
      </w:r>
      <w:r>
        <w:rPr>
          <w:rFonts w:ascii="Wingdings" w:hAnsi="Wingdings" w:eastAsia="Wingdings" w:cs="Wingdings"/>
          <w:color w:val="auto"/>
          <w:highlight w:val="none"/>
        </w:rPr>
        <w:t xml:space="preserve">¨</w:t>
      </w:r>
      <w:r>
        <w:rPr>
          <w:rFonts w:hint="eastAsia" w:ascii="宋体" w:hAnsi="宋体"/>
          <w:bCs/>
          <w:color w:val="auto"/>
          <w:highlight w:val="none"/>
        </w:rPr>
        <w:t xml:space="preserve">是，</w:t>
      </w:r>
      <w:r>
        <w:rPr>
          <w:rFonts w:hint="eastAsia" w:ascii="宋体" w:hAnsi="宋体"/>
          <w:bCs/>
          <w:color w:val="auto"/>
          <w:highlight w:val="none"/>
          <w:u w:val="single"/>
        </w:rPr>
        <w:t xml:space="preserve">（应明确对被破坏的检测产品的处理方式）</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验收组织的其他事项：</w:t>
      </w:r>
      <w:r>
        <w:rPr>
          <w:rFonts w:hint="eastAsia" w:ascii="宋体" w:hAnsi="宋体"/>
          <w:bCs/>
          <w:color w:val="auto"/>
          <w:highlight w:val="none"/>
          <w:u w:val="single"/>
        </w:rPr>
        <w:t xml:space="preserve"> 无 </w:t>
      </w:r>
      <w:r>
        <w:rPr>
          <w:rFonts w:hint="eastAsia" w:ascii="宋体" w:hAnsi="宋体"/>
          <w:bCs/>
          <w:color w:val="auto"/>
          <w:highlight w:val="none"/>
        </w:rPr>
        <w:t xml:space="preserve">。</w:t>
      </w:r>
      <w:r/>
    </w:p>
    <w:p>
      <w:pPr>
        <w:ind w:firstLine="42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（2）履约验收时间：</w:t>
      </w:r>
      <w:r>
        <w:rPr>
          <w:rFonts w:hint="eastAsia" w:ascii="宋体" w:hAnsi="宋体"/>
          <w:bCs/>
          <w:color w:val="auto"/>
          <w:highlight w:val="none"/>
          <w:u w:val="single"/>
        </w:rPr>
        <w:t xml:space="preserve">（</w:t>
      </w:r>
      <w:r>
        <w:rPr>
          <w:rFonts w:hint="eastAsia" w:ascii="宋体" w:hAnsi="宋体"/>
          <w:bCs/>
          <w:color w:val="auto"/>
          <w:highlight w:val="none"/>
          <w:u w:val="single"/>
          <w:lang w:eastAsia="zh-CN"/>
        </w:rPr>
        <w:t xml:space="preserve">投标人</w:t>
      </w:r>
      <w:r>
        <w:rPr>
          <w:rFonts w:hint="eastAsia" w:ascii="宋体" w:hAnsi="宋体"/>
          <w:bCs/>
          <w:color w:val="auto"/>
          <w:highlight w:val="none"/>
          <w:u w:val="single"/>
        </w:rPr>
        <w:t xml:space="preserve">提出验收申请之日起 3 个工作日内组织验收） </w:t>
      </w:r>
      <w:r/>
    </w:p>
    <w:p>
      <w:pPr>
        <w:ind w:firstLine="420"/>
        <w:spacing w:line="400" w:lineRule="exact"/>
        <w:shd w:val="clear" w:color="auto"/>
        <w:rPr>
          <w:rFonts w:ascii="宋体" w:hAnsi="宋体"/>
          <w:bCs/>
          <w:color w:val="auto"/>
          <w:highlight w:val="none"/>
        </w:rPr>
      </w:pPr>
      <w:r>
        <w:rPr>
          <w:rFonts w:hint="eastAsia" w:ascii="宋体" w:hAnsi="宋体"/>
          <w:bCs/>
          <w:color w:val="auto"/>
          <w:highlight w:val="none"/>
        </w:rPr>
        <w:t xml:space="preserve">（3）履约验收方式：</w:t>
      </w:r>
      <w:r>
        <w:rPr>
          <w:rFonts w:ascii="Wingdings" w:hAnsi="Wingdings" w:eastAsia="Wingdings" w:cs="Wingdings"/>
          <w:color w:val="auto"/>
          <w:highlight w:val="none"/>
        </w:rPr>
        <w:t xml:space="preserve">þ</w:t>
      </w:r>
      <w:r>
        <w:rPr>
          <w:rFonts w:hint="eastAsia" w:ascii="宋体" w:hAnsi="宋体"/>
          <w:bCs/>
          <w:color w:val="auto"/>
          <w:highlight w:val="none"/>
        </w:rPr>
        <w:t xml:space="preserve">一次性验收         </w:t>
      </w:r>
      <w:r/>
    </w:p>
    <w:p>
      <w:pPr>
        <w:spacing w:line="400" w:lineRule="exact"/>
        <w:shd w:val="clear" w:color="auto"/>
        <w:rPr>
          <w:rFonts w:ascii="宋体" w:hAnsi="宋体"/>
          <w:bCs/>
          <w:color w:val="auto"/>
          <w:highlight w:val="none"/>
        </w:rPr>
      </w:pPr>
      <w:r>
        <w:rPr>
          <w:rFonts w:hint="eastAsia" w:ascii="宋体" w:hAnsi="宋体"/>
          <w:bCs/>
          <w:color w:val="auto"/>
          <w:highlight w:val="none"/>
        </w:rPr>
        <w:t xml:space="preserve">                       </w:t>
      </w:r>
      <w:r>
        <w:rPr>
          <w:rFonts w:ascii="Wingdings" w:hAnsi="Wingdings" w:eastAsia="Wingdings" w:cs="Wingdings"/>
          <w:color w:val="auto"/>
          <w:highlight w:val="none"/>
        </w:rPr>
        <w:t xml:space="preserve">¨</w:t>
      </w:r>
      <w:r>
        <w:rPr>
          <w:rFonts w:hint="eastAsia" w:ascii="宋体" w:hAnsi="宋体"/>
          <w:bCs/>
          <w:color w:val="auto"/>
          <w:highlight w:val="none"/>
        </w:rPr>
        <w:t xml:space="preserve">分期/分项验收：</w:t>
      </w:r>
      <w:r>
        <w:rPr>
          <w:rFonts w:hint="eastAsia" w:ascii="宋体" w:hAnsi="宋体"/>
          <w:bCs/>
          <w:color w:val="auto"/>
          <w:highlight w:val="none"/>
          <w:u w:val="single"/>
        </w:rPr>
        <w:t xml:space="preserve"> （应明确分期</w:t>
      </w:r>
      <w:r>
        <w:rPr>
          <w:rFonts w:ascii="宋体" w:hAnsi="宋体"/>
          <w:bCs/>
          <w:color w:val="auto"/>
          <w:highlight w:val="none"/>
          <w:u w:val="single"/>
          <w:lang w:val="en"/>
        </w:rPr>
        <w:t xml:space="preserve">/</w:t>
      </w:r>
      <w:r>
        <w:rPr>
          <w:rFonts w:hint="eastAsia" w:ascii="宋体" w:hAnsi="宋体"/>
          <w:bCs/>
          <w:color w:val="auto"/>
          <w:highlight w:val="none"/>
          <w:u w:val="single"/>
          <w:lang w:val="en"/>
        </w:rPr>
        <w:t xml:space="preserve">分项验收的工作安排</w:t>
      </w:r>
      <w:r>
        <w:rPr>
          <w:rFonts w:hint="eastAsia" w:ascii="宋体" w:hAnsi="宋体"/>
          <w:bCs/>
          <w:color w:val="auto"/>
          <w:highlight w:val="none"/>
          <w:u w:val="single"/>
        </w:rPr>
        <w:t xml:space="preserve">） </w:t>
      </w:r>
      <w:r/>
    </w:p>
    <w:p>
      <w:pPr>
        <w:ind w:firstLine="420"/>
        <w:spacing w:line="400" w:lineRule="exact"/>
        <w:shd w:val="clear" w:color="auto"/>
        <w:rPr>
          <w:rFonts w:ascii="宋体" w:hAnsi="宋体"/>
          <w:bCs/>
          <w:color w:val="auto"/>
          <w:highlight w:val="none"/>
        </w:rPr>
      </w:pPr>
      <w:r>
        <w:rPr>
          <w:rFonts w:hint="eastAsia" w:ascii="宋体" w:hAnsi="宋体"/>
          <w:bCs/>
          <w:color w:val="auto"/>
          <w:highlight w:val="none"/>
        </w:rPr>
        <w:t xml:space="preserve">（4）履约验收程序：</w:t>
      </w:r>
      <w:r/>
    </w:p>
    <w:p>
      <w:pPr>
        <w:ind w:firstLine="420"/>
        <w:spacing w:line="400" w:lineRule="exact"/>
        <w:shd w:val="clear" w:color="auto"/>
        <w:rPr>
          <w:rFonts w:hint="eastAsia" w:ascii="宋体" w:hAnsi="宋体"/>
          <w:bCs/>
          <w:color w:val="auto"/>
          <w:highlight w:val="none"/>
          <w:u w:val="single"/>
        </w:rPr>
      </w:pPr>
      <w:r>
        <w:rPr>
          <w:rFonts w:hint="eastAsia" w:ascii="宋体" w:hAnsi="宋体"/>
          <w:bCs/>
          <w:color w:val="auto"/>
          <w:highlight w:val="none"/>
          <w:u w:val="single"/>
        </w:rPr>
        <w:t xml:space="preserve">纸张制作完成后，交付各学校，采购人通过随机抽查方式，</w:t>
      </w:r>
      <w:r>
        <w:rPr>
          <w:rFonts w:hint="eastAsia" w:ascii="宋体" w:hAnsi="宋体"/>
          <w:bCs/>
          <w:color w:val="auto"/>
          <w:highlight w:val="none"/>
          <w:u w:val="single"/>
        </w:rPr>
        <w:t xml:space="preserve">随机检查一批纸张，对照排版及校对、纸张纸张及印刷、纸张袋及配装、答题卡袋、装袋、打包等要求，进行检查验收。由于中标单位原因造成印制、分装、分发等错误，中标单位应承担相应责任，采购单位有权终止合同，并视中标单位违约，采购单位有权要求中标单位支付违约金。由于中标单位原因造成的考试时间延误，中标单位应承担相应责任，采购单位有权终止合同，并视中标单位违约，采购单位有权要求中标单位支付违约金。由于中标单位原因造成的负偏差，中标单位应承担相应责任，采购方有权终止合同，并视中标单位违约，采购方有权要求中标单位支付违约金。</w:t>
      </w:r>
      <w:r/>
    </w:p>
    <w:p>
      <w:pPr>
        <w:ind w:firstLine="42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（5）履约验收的内容：</w:t>
      </w:r>
      <w:r>
        <w:rPr>
          <w:rFonts w:hint="eastAsia" w:ascii="宋体" w:hAnsi="宋体"/>
          <w:bCs/>
          <w:color w:val="auto"/>
          <w:highlight w:val="none"/>
          <w:u w:val="single"/>
        </w:rPr>
        <w:t xml:space="preserve">按照采购合同的约定对每一项技术、服务、安全标准的履约情况进行确认</w:t>
      </w:r>
      <w:r>
        <w:rPr>
          <w:rFonts w:hint="eastAsia" w:ascii="宋体" w:hAnsi="宋体"/>
          <w:bCs/>
          <w:color w:val="auto"/>
          <w:highlight w:val="none"/>
        </w:rPr>
        <w:t xml:space="preserve">。</w:t>
      </w:r>
      <w:r/>
    </w:p>
    <w:p>
      <w:pPr>
        <w:ind w:firstLine="42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（6）履约验收标准：</w:t>
      </w:r>
      <w:r>
        <w:rPr>
          <w:rFonts w:hint="eastAsia" w:ascii="宋体" w:hAnsi="宋体"/>
          <w:bCs/>
          <w:color w:val="auto"/>
          <w:highlight w:val="none"/>
          <w:u w:val="single"/>
        </w:rPr>
        <w:t xml:space="preserve">对乙方提供的货物结合产品性能及质量有国家标准的应符合国家标准。无国家标准的应符合行业标准、地方标准或者其他标准、规范，并满足采购文件要求</w:t>
      </w:r>
      <w:r>
        <w:rPr>
          <w:rFonts w:hint="eastAsia" w:ascii="宋体" w:hAnsi="宋体"/>
          <w:bCs/>
          <w:color w:val="auto"/>
          <w:highlight w:val="none"/>
        </w:rPr>
        <w:t xml:space="preserve">。</w:t>
      </w:r>
      <w:r/>
    </w:p>
    <w:p>
      <w:pPr>
        <w:pStyle w:val="1331"/>
        <w:ind w:firstLine="420"/>
        <w:shd w:val="clear" w:color="auto"/>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w:t>
      </w:r>
      <w:r>
        <w:rPr>
          <w:rFonts w:hint="eastAsia" w:ascii="宋体" w:hAnsi="宋体" w:eastAsia="宋体" w:cs="宋体"/>
          <w:bCs/>
          <w:color w:val="auto"/>
          <w:sz w:val="21"/>
          <w:highlight w:val="none"/>
          <w:lang w:eastAsia="zh-CN"/>
        </w:rPr>
        <w:t xml:space="preserve">投标人</w:t>
      </w:r>
      <w:r>
        <w:rPr>
          <w:rFonts w:hint="eastAsia" w:ascii="宋体" w:hAnsi="宋体" w:eastAsia="宋体" w:cs="宋体"/>
          <w:bCs/>
          <w:color w:val="auto"/>
          <w:sz w:val="21"/>
          <w:highlight w:val="none"/>
        </w:rPr>
        <w:t xml:space="preserve">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ind w:firstLine="420"/>
        <w:spacing w:line="400" w:lineRule="exact"/>
        <w:shd w:val="clear" w:color="auto"/>
        <w:rPr>
          <w:rFonts w:ascii="宋体" w:hAnsi="宋体" w:cs="宋体"/>
          <w:bCs/>
          <w:color w:val="auto"/>
          <w:highlight w:val="none"/>
          <w:u w:val="single"/>
        </w:rPr>
      </w:pPr>
      <w:r>
        <w:rPr>
          <w:rFonts w:hint="eastAsia" w:ascii="宋体" w:hAnsi="宋体" w:cs="宋体"/>
          <w:bCs/>
          <w:color w:val="auto"/>
          <w:highlight w:val="none"/>
        </w:rPr>
        <w:t xml:space="preserve">（8）履约验收其他事项：</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组成合同的文件</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本协议书与下列文件一起构成合同文件，如下述文件之间有任何抵触、矛盾或歧义，应按以下顺序解释：</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（1）政府采购合同协议书及其变更、补充协议</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（2）政府采购合同专用条款</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（3）政府采购合同通用条款</w:t>
      </w:r>
      <w:r/>
    </w:p>
    <w:p>
      <w:pPr>
        <w:pStyle w:val="1331"/>
        <w:ind w:firstLine="420"/>
        <w:shd w:val="clear" w:color="auto"/>
        <w:rPr>
          <w:rFonts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（4）中标（成交）通知书</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（5）投标（响应）文件</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（6）采购文件</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（7）有关技术文件，图纸</w:t>
      </w:r>
      <w:r/>
    </w:p>
    <w:p>
      <w:pPr>
        <w:pStyle w:val="1331"/>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合同生效</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本合同自</w:t>
      </w:r>
      <w:r>
        <w:rPr>
          <w:rFonts w:hint="eastAsia" w:ascii="宋体" w:hAnsi="宋体"/>
          <w:color w:val="auto"/>
          <w:highlight w:val="none"/>
          <w:u w:val="single"/>
        </w:rPr>
        <w:t xml:space="preserve"> 签订之日起 </w:t>
      </w:r>
      <w:r>
        <w:rPr>
          <w:rFonts w:hint="eastAsia" w:ascii="宋体" w:hAnsi="宋体"/>
          <w:color w:val="auto"/>
          <w:highlight w:val="none"/>
        </w:rPr>
        <w:t xml:space="preserve">生效。</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合同份数</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本合同一式</w:t>
      </w:r>
      <w:r>
        <w:rPr>
          <w:rFonts w:hint="eastAsia" w:ascii="宋体" w:hAnsi="宋体"/>
          <w:color w:val="auto"/>
          <w:highlight w:val="none"/>
          <w:u w:val="single"/>
        </w:rPr>
        <w:t xml:space="preserve"> 肆 </w:t>
      </w:r>
      <w:r>
        <w:rPr>
          <w:rFonts w:hint="eastAsia" w:ascii="宋体" w:hAnsi="宋体"/>
          <w:color w:val="auto"/>
          <w:highlight w:val="none"/>
        </w:rPr>
        <w:t xml:space="preserve">份，甲方执</w:t>
      </w:r>
      <w:r>
        <w:rPr>
          <w:rFonts w:hint="eastAsia" w:ascii="宋体" w:hAnsi="宋体"/>
          <w:color w:val="auto"/>
          <w:highlight w:val="none"/>
          <w:u w:val="single"/>
        </w:rPr>
        <w:t xml:space="preserve"> 贰 </w:t>
      </w:r>
      <w:r>
        <w:rPr>
          <w:rFonts w:hint="eastAsia" w:ascii="宋体" w:hAnsi="宋体"/>
          <w:color w:val="auto"/>
          <w:highlight w:val="none"/>
        </w:rPr>
        <w:t xml:space="preserve">份，乙方执</w:t>
      </w:r>
      <w:r>
        <w:rPr>
          <w:rFonts w:hint="eastAsia" w:ascii="宋体" w:hAnsi="宋体"/>
          <w:color w:val="auto"/>
          <w:highlight w:val="none"/>
          <w:u w:val="single"/>
        </w:rPr>
        <w:t xml:space="preserve"> 贰 </w:t>
      </w:r>
      <w:r>
        <w:rPr>
          <w:rFonts w:hint="eastAsia" w:ascii="宋体" w:hAnsi="宋体"/>
          <w:color w:val="auto"/>
          <w:highlight w:val="none"/>
        </w:rPr>
        <w:t xml:space="preserve">份，均具有同等法律效力。</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合同订立时间：</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合同订立地点：</w:t>
      </w:r>
      <w:r>
        <w:rPr>
          <w:rFonts w:hint="eastAsia" w:ascii="宋体" w:hAnsi="宋体"/>
          <w:color w:val="auto"/>
          <w:highlight w:val="none"/>
          <w:u w:val="single"/>
        </w:rPr>
        <w:t xml:space="preserve">                           </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附件：具体标的及其技术要求和商务要求、联合协议、分包意向协议等。</w:t>
      </w:r>
      <w:r/>
    </w:p>
    <w:tbl>
      <w:tblPr>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3451"/>
        <w:gridCol w:w="1199"/>
        <w:gridCol w:w="3429"/>
        <w:gridCol w:w="1221"/>
      </w:tblGrid>
      <w:tr>
        <w:trPr>
          <w:tblCellSpacing w:w="0" w:type="dxa"/>
          <w:trHeight w:val="2301"/>
        </w:trPr>
        <w:tc>
          <w:tcPr>
            <w:gridSpan w:val="2"/>
            <w:shd w:val="clear" w:color="auto"/>
            <w:tcBorders>
              <w:top w:val="single" w:color="000000" w:sz="4" w:space="0"/>
              <w:left w:val="single" w:color="000000" w:sz="4" w:space="0"/>
              <w:bottom w:val="single" w:color="000000" w:sz="2" w:space="0"/>
              <w:right w:val="single" w:color="000000" w:sz="2" w:space="0"/>
            </w:tcBorders>
            <w:tcW w:w="4650"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甲方（采购人</w:t>
            </w:r>
            <w:r>
              <w:rPr>
                <w:rFonts w:hint="eastAsia" w:ascii="宋体" w:hAnsi="宋体" w:eastAsia="宋体" w:cs="宋体"/>
                <w:color w:val="000000"/>
                <w:sz w:val="21"/>
                <w:szCs w:val="21"/>
              </w:rPr>
              <w:t xml:space="preserve">、受采购人委托签订合同的单位或</w:t>
            </w:r>
            <w:r>
              <w:rPr>
                <w:rFonts w:hint="default" w:ascii="Times New Roman" w:hAnsi="Times New Roman" w:cs="Times New Roman"/>
                <w:color w:val="000000"/>
                <w:sz w:val="21"/>
                <w:szCs w:val="21"/>
              </w:rPr>
              <w:t xml:space="preserve">采购文件约定的合同甲方）</w:t>
            </w:r>
            <w:r/>
          </w:p>
        </w:tc>
        <w:tc>
          <w:tcPr>
            <w:gridSpan w:val="2"/>
            <w:shd w:val="clear" w:color="auto"/>
            <w:tcBorders>
              <w:top w:val="single" w:color="000000" w:sz="4" w:space="0"/>
              <w:left w:val="single" w:color="000000" w:sz="2" w:space="0"/>
              <w:bottom w:val="single" w:color="000000" w:sz="2" w:space="0"/>
              <w:right w:val="single" w:color="000000" w:sz="4" w:space="0"/>
            </w:tcBorders>
            <w:tcW w:w="4650"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乙方（供应商）</w:t>
            </w:r>
            <w:r/>
          </w:p>
        </w:tc>
      </w:tr>
      <w:tr>
        <w:trPr>
          <w:tblCellSpacing w:w="0" w:type="dxa"/>
          <w:trHeight w:val="1537"/>
        </w:trPr>
        <w:tc>
          <w:tcPr>
            <w:shd w:val="clear" w:color="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单位名称（公章或合同章）</w:t>
            </w:r>
            <w:r/>
          </w:p>
        </w:tc>
        <w:tc>
          <w:tcPr>
            <w:shd w:val="clear" w:color="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单位名称（公章或合同章）</w:t>
            </w:r>
            <w:r/>
          </w:p>
        </w:tc>
        <w:tc>
          <w:tcPr>
            <w:shd w:val="clear" w:color="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2287"/>
        </w:trPr>
        <w:tc>
          <w:tcPr>
            <w:shd w:val="clear" w:color="auto"/>
            <w:tcBorders>
              <w:top w:val="single" w:color="000000" w:sz="2" w:space="0"/>
              <w:left w:val="single" w:color="000000" w:sz="4" w:space="0"/>
              <w:bottom w:val="single" w:color="000000" w:sz="2" w:space="0"/>
              <w:right w:val="single" w:color="000000" w:sz="2" w:space="0"/>
            </w:tcBorders>
            <w:tcW w:w="3451" w:type="dxa"/>
            <w:vAlign w:val="center"/>
            <w:vMerge w:val="restart"/>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法定代表人</w:t>
            </w:r>
            <w:r/>
          </w:p>
          <w:p>
            <w:pPr>
              <w:pStyle w:val="860"/>
              <w:ind w:left="0" w:firstLine="10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或其委托代理人（签章）</w:t>
            </w:r>
            <w:r/>
          </w:p>
        </w:tc>
        <w:tc>
          <w:tcPr>
            <w:shd w:val="clear" w:color="auto"/>
            <w:tcBorders>
              <w:top w:val="single" w:color="000000" w:sz="2" w:space="0"/>
              <w:left w:val="single" w:color="000000" w:sz="2" w:space="0"/>
              <w:bottom w:val="single" w:color="000000" w:sz="2" w:space="0"/>
              <w:right w:val="single" w:color="000000" w:sz="2" w:space="0"/>
            </w:tcBorders>
            <w:tcW w:w="1199" w:type="dxa"/>
            <w:vAlign w:val="center"/>
            <w:vMerge w:val="restart"/>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法定代表人</w:t>
            </w:r>
            <w:r/>
          </w:p>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或其委托代理人（签章）</w:t>
            </w:r>
            <w:r/>
          </w:p>
        </w:tc>
        <w:tc>
          <w:tcPr>
            <w:shd w:val="clear" w:color="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769"/>
        </w:trPr>
        <w:tc>
          <w:tcPr>
            <w:shd w:val="clear" w:color="auto"/>
            <w:tcBorders>
              <w:top w:val="single" w:color="000000" w:sz="2" w:space="0"/>
              <w:left w:val="single" w:color="000000" w:sz="4" w:space="0"/>
              <w:bottom w:val="single" w:color="000000" w:sz="2" w:space="0"/>
              <w:right w:val="single" w:color="000000" w:sz="2" w:space="0"/>
            </w:tcBorders>
            <w:tcW w:w="3451"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tcBorders>
              <w:top w:val="single" w:color="000000" w:sz="2" w:space="0"/>
              <w:left w:val="single" w:color="000000" w:sz="2" w:space="0"/>
              <w:bottom w:val="single" w:color="000000" w:sz="2" w:space="0"/>
              <w:right w:val="single" w:color="000000" w:sz="2" w:space="0"/>
            </w:tcBorders>
            <w:tcW w:w="119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拥有者性别</w:t>
            </w:r>
            <w:r/>
          </w:p>
        </w:tc>
        <w:tc>
          <w:tcPr>
            <w:shd w:val="clear" w:color="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58"/>
        </w:trPr>
        <w:tc>
          <w:tcPr>
            <w:shd w:val="clear" w:color="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住  所</w:t>
            </w:r>
            <w:r/>
          </w:p>
        </w:tc>
        <w:tc>
          <w:tcPr>
            <w:shd w:val="clear" w:color="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住  所</w:t>
            </w:r>
            <w:r/>
          </w:p>
        </w:tc>
        <w:tc>
          <w:tcPr>
            <w:shd w:val="clear" w:color="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联 系 人</w:t>
            </w:r>
            <w:r/>
          </w:p>
        </w:tc>
        <w:tc>
          <w:tcPr>
            <w:shd w:val="clear" w:color="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联 系 人</w:t>
            </w:r>
            <w:r/>
          </w:p>
        </w:tc>
        <w:tc>
          <w:tcPr>
            <w:shd w:val="clear" w:color="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联系电话</w:t>
            </w:r>
            <w:r/>
          </w:p>
        </w:tc>
        <w:tc>
          <w:tcPr>
            <w:shd w:val="clear" w:color="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联系电话</w:t>
            </w:r>
            <w:r/>
          </w:p>
        </w:tc>
        <w:tc>
          <w:tcPr>
            <w:shd w:val="clear" w:color="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通信地址</w:t>
            </w:r>
            <w:r/>
          </w:p>
        </w:tc>
        <w:tc>
          <w:tcPr>
            <w:shd w:val="clear" w:color="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通信地址</w:t>
            </w:r>
            <w:r/>
          </w:p>
        </w:tc>
        <w:tc>
          <w:tcPr>
            <w:shd w:val="clear" w:color="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邮政编码</w:t>
            </w:r>
            <w:r/>
          </w:p>
        </w:tc>
        <w:tc>
          <w:tcPr>
            <w:shd w:val="clear" w:color="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邮政编码</w:t>
            </w:r>
            <w:r/>
          </w:p>
        </w:tc>
        <w:tc>
          <w:tcPr>
            <w:shd w:val="clear" w:color="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电子邮箱</w:t>
            </w:r>
            <w:r/>
          </w:p>
        </w:tc>
        <w:tc>
          <w:tcPr>
            <w:shd w:val="clear" w:color="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电子邮箱</w:t>
            </w:r>
            <w:r/>
          </w:p>
        </w:tc>
        <w:tc>
          <w:tcPr>
            <w:shd w:val="clear" w:color="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1021"/>
        </w:trPr>
        <w:tc>
          <w:tcPr>
            <w:shd w:val="clear" w:color="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统一社会信用代码</w:t>
            </w:r>
            <w:r/>
          </w:p>
        </w:tc>
        <w:tc>
          <w:tcPr>
            <w:shd w:val="clear" w:color="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统一社会信用代码</w:t>
            </w:r>
            <w:r/>
          </w:p>
        </w:tc>
        <w:tc>
          <w:tcPr>
            <w:shd w:val="clear" w:color="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开户名称</w:t>
            </w:r>
            <w:r/>
          </w:p>
        </w:tc>
        <w:tc>
          <w:tcPr>
            <w:shd w:val="clear" w:color="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开户银行</w:t>
            </w:r>
            <w:r/>
          </w:p>
        </w:tc>
        <w:tc>
          <w:tcPr>
            <w:shd w:val="clear" w:color="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银行账号</w:t>
            </w:r>
            <w:r/>
          </w:p>
        </w:tc>
        <w:tc>
          <w:tcPr>
            <w:shd w:val="clear" w:color="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1687"/>
        </w:trPr>
        <w:tc>
          <w:tcPr>
            <w:gridSpan w:val="4"/>
            <w:shd w:val="clear" w:color="auto"/>
            <w:tcBorders>
              <w:top w:val="single" w:color="000000" w:sz="2" w:space="0"/>
              <w:left w:val="single" w:color="000000" w:sz="4" w:space="0"/>
              <w:bottom w:val="single" w:color="000000" w:sz="4" w:space="0"/>
              <w:right w:val="single" w:color="000000" w:sz="4" w:space="0"/>
            </w:tcBorders>
            <w:tcW w:w="9300" w:type="dxa"/>
            <w:vAlign w:val="center"/>
            <w:textDirection w:val="lrTb"/>
            <w:noWrap w:val="false"/>
          </w:tcPr>
          <w:p>
            <w:pPr>
              <w:pStyle w:val="860"/>
              <w:ind w:left="0" w:firstLine="645"/>
              <w:keepLines w:val="0"/>
              <w:keepNext w:val="0"/>
              <w:spacing w:before="156"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注：涉及联合体或其他合同主体的信息应按上表格式加列。</w:t>
            </w:r>
            <w:r/>
          </w:p>
        </w:tc>
      </w:tr>
    </w:tbl>
    <w:p>
      <w:pPr>
        <w:ind w:firstLine="420"/>
        <w:jc w:val="center"/>
        <w:spacing w:line="400" w:lineRule="exact"/>
        <w:shd w:val="clear" w:color="auto"/>
        <w:rPr>
          <w:rFonts w:hint="eastAsia" w:ascii="宋体" w:hAnsi="宋体"/>
          <w:b/>
          <w:bCs/>
          <w:color w:val="auto"/>
          <w:highlight w:val="none"/>
        </w:rPr>
      </w:pPr>
      <w:r>
        <w:rPr>
          <w:rFonts w:hint="eastAsia" w:ascii="宋体" w:hAnsi="宋体"/>
          <w:b/>
          <w:bCs/>
          <w:color w:val="auto"/>
          <w:highlight w:val="none"/>
        </w:rPr>
      </w:r>
      <w:r/>
    </w:p>
    <w:p>
      <w:pPr>
        <w:ind w:firstLine="420"/>
        <w:jc w:val="center"/>
        <w:spacing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第二节政府采购合同通用条款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 定义</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1.1合同当事人</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（1）采购人（以下称甲方）是指使用财政性资金，通过政府采购方式向供应商购买货物及其相关服务的国家机关、事业单位、团体组织。</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（3）其他合同主体是指除采购人和供应商以外，依法参与合同缔结或履行，享有权利、承担义务的合同当事人。</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1.2本合同下列术语应解释为：</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（2）“合同价款”系指根据本合同规定乙方在全面履行合同义务后甲方应支付给乙方的价款。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（7）其他术语解释，见【政府采购合同专用条款】。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合同标的及金额</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2.1 合同标的及金额应与中标（成交）结果一致。乙方为履行本合同而发生的所有费用均应包含在合同价款中，甲方不再另行支付其他任何费用。</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 履行合同的时间、地点和方式</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3.1 乙方应当在约定的时间、地点，按照约定方式履行合同。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 甲方的权利和义务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4.3 甲方有权要求乙方对缺陷部分予以修复，并按合同约定享有货物保修及其他合同约定的权利。</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4.4 甲方应当按照合同约定及时对交付的货物进行验收，未在【政府采购合同专用条款】约定的期限内对乙方履约提出任何异议或者向乙方作出任何说明的，视为验收通过。</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4.5 甲方应当根据合同约定及时向乙方支付合同价款，不得以内部人员变更、履行内部付款流程等为由，拒绝或迟延支付。</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4.6 国家法律法规规定及【政府采购合同专用条款】约定应由甲方承担的其他义务和责任。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 乙方的权利和义务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5.1 签署合同后，乙方应确定项目负责人（或项目联系人），负责与本合同有关的事务。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5.3乙方有权根据合同约定向甲方收取合同价款。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5.4国家法律法规规定及【政府采购合同专用条款】约定应由乙方承担的其他义务和责任。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合同履行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6.1 甲乙双方应当按照【政府采购合同专用条款】约定顺序履行合同义务；如果没有先后顺序的，应当同时履行。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 货物包装、运输、保险和交付要求</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7.2 除【政府采购合同专用条款】另有约定外，乙方负责办理将货物运抵本合同规定的交货地点，并装卸、交付至甲方的一切运输事项，相关费用应包含在合同价款中。</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7.3 货物保险要求按【政府采购合同专用条款】规定执行。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7.5 乙方在运输到达之前应提前通知甲方，并提示货物运输装卸的注意事项，甲方配合乙方做好货物的接收工作。</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7.6 如因包装、运输问题导致货物损毁、丢失或者品质下降，甲方有权要求降价、换货、拒收部分或整批货物，由此产生的费用和损失，均由乙方承担。</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8. 质量标准和保证</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8.1 质量标准</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（2）采用中华人民共和国法定计量单位。</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（3）乙方所提供的货物应符合国家有关安全、环保、卫生的规定。</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8.2 保证</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（2）在质量保证期内所发现的缺陷，甲方应尽快以书面形式通知乙方。</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（3）乙方收到通知后，应在【政府采购合同专用条款】规定的响应时间内以合理的速度免费维修或更换有缺陷的货物或部件。</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（5）乙方在约定的时间内未能弥补缺陷，甲方可采取必要的补救措施，但其风险和费用将由乙方承担，甲方根据合同约定对乙方行使的其他权利不受影响。</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9. 权利瑕疵担保</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9.1 乙方保证对其出售的货物享有合法的权利。</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9.2 乙方保证在交付的货物上不存在抵押权等担保物权。</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9.3 如甲方使用上述货物构成对第三人侵权的，则由乙方承担全部责任。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10. 知识产权保护</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10.1 乙方对其所销售的货物应当享有知识产权或经权利人合法授权，保证没有侵犯任何第三人的知识产权等权利。</w:t>
      </w:r>
      <w:bookmarkStart w:id="136" w:name="_Hlk163047038"/>
      <w:r>
        <w:rPr>
          <w:rFonts w:hint="eastAsia" w:ascii="宋体" w:hAnsi="宋体"/>
          <w:color w:val="auto"/>
          <w:highlight w:val="none"/>
        </w:rPr>
        <w:t xml:space="preserve">因违反前述约定对第三人构成侵权的，应当由乙方向第三人承担法律责任；甲方依法向第三人赔偿后，有权向乙方追偿。甲方有其他损失的，乙方应当赔偿</w:t>
      </w:r>
      <w:bookmarkEnd w:id="136"/>
      <w:r>
        <w:rPr>
          <w:rFonts w:hint="eastAsia" w:ascii="宋体" w:hAnsi="宋体"/>
          <w:color w:val="auto"/>
          <w:highlight w:val="none"/>
        </w:rPr>
        <w:t xml:space="preserve">。</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11. 保密义务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12. 合同价款支付</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12.1 合同价款支付按照国库集中支付制度及财政管理相关规定执行。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13. 履约保证金</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13.1 乙方除银行电汇、网上银行、数字人民币外，乙方还可选用银行保函、担保公司的保证担保或保险公司的保证保险、等多种形式向甲方提交。</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14. 售后服务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14.1 除项目不涉及或采购活动中明确约定无须承担外，乙方还应提供下列服务：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（1）货物的现场移动、安装、调试、启动监督及技术支持；</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（2）提供货物组装和维修所需的专用工具和辅助材料；</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（3）在【政府采购合同专用条款】约定的期限内对所有的货物实施运行监督、维修，但前提条件是该服务并不能免除乙方在质量保证期内所承担的义务；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（4）在制造商所在地或指定现场就货物的安装、启动、运营、维护、废弃处置等对甲方操作人员进行培训；</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（5）依照法律、行政法规的规定或者按照【政府采购合同专用条款】约定，货物在有效使用年限届满后应予回收的，乙方负有自行或者委托第三人对货物予以回收的义务；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（6）【政府采购合同专用条款】规定由乙方提供的其他服务。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14.2 乙方提供的售后服务的费用已包含在合同价款中，甲方不再另行支付。</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15. 违约责任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15.1质量瑕疵的违约责任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15.2 迟延交货的违约责任（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15.3 迟延支付的违约责任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甲方存在迟延支付乙方合同款项的，应当承担【政府采购合同专用条款】规定的逾期付款利息。</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15.4其他违约责任根据项目实际需要按【政府采购合同专用条款】规定执行。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合同变更、中止与终止</w:t>
      </w:r>
      <w:r/>
    </w:p>
    <w:p>
      <w:pPr>
        <w:spacing w:line="400" w:lineRule="exact"/>
        <w:shd w:val="clear" w:color="auto"/>
        <w:rPr>
          <w:rFonts w:hint="eastAsia" w:ascii="宋体" w:hAnsi="宋体"/>
          <w:color w:val="auto"/>
          <w:highlight w:val="none"/>
        </w:rPr>
      </w:pPr>
      <w:r>
        <w:rPr>
          <w:rFonts w:hint="eastAsia" w:ascii="宋体" w:hAnsi="宋体"/>
          <w:color w:val="auto"/>
          <w:highlight w:val="none"/>
        </w:rPr>
        <w:t xml:space="preserve">  16.1合同的变更</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16.2合同的中止</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（1）合同履行过程中因供应商就采购文件、采购过程或结果提起投诉的，甲方认为有必要的，可以中止合同的履行。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单方解除合同并要求乙方承担由此给甲方造成的损失（包含但不限于律师费、诉讼费、保全费、执行费等）。</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（4）甲方不得以行政区划调整、政府换届、机构或者职能调整以及相关责任人更替为由中止合同。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16.3合同的终止</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（1）合同因有效期限届满而终止；</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乙方未按合同约定履行，构成根本性违约的，甲方有权终止合同，并追究乙方的违约责任，乙方向甲方支付项目合同违约金（各采购包合同总金额的25%），乙方承担甲方因此产生的损失（包含但不限于律师费、诉讼费、保全费、执行费等）。</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16.4 涉及国家利益、社会公共利益的情形</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17. 合同分包</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17.1 乙方不得将合同转包给其他供应商。涉及合同分包的，乙方应根据采购文件和投标（响应）文件规定进行合同分包。</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17.2 乙方执行政府采购政策向中小企业依法分包的，乙方应当按采购文件和投标（响应）文件签订分包意向协议，分包意向协议属于本合同组成部分。</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18. 不可抗力</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18.1 不可抗力是指合同双方不能预见、不能避免且不能克服的客观情况。</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18.2 任何一方对由于不可抗力造成的部分或全部不能履行合同不承担违约责任。但迟延履行后发生不可抗力的，不能免除责任。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19. 解决争议的方法</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19.3 如甲乙双方有争议的事项不影响合同其他部分的履行，在争议解决期间，合同其他部分应当继续履行。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20. 政府采购政策</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20.1 本合同应当按照规定执行政府采购政策。</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21. 法律适用</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21.1本合同的订立、生效、解释、履行及与本合同有关的争议解决，均适用法律、行政法规。</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21.2本合同条款与法律、行政法规的强制性规定不一致的，双方当事人应按照法律、行政法规的强制性规定修改本合同的相关条款。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22. 通知</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22.1 本合同任何一方向对方发出的通知、信件、数据电文等，应当发送至本合同第一部分《政府采购合同协议书》所约定的通讯地址、联系人、联系电话或电子邮箱。</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22.2 一方当事人变更名称、住所、联系人、联系电话或电子邮箱等信息的，应当在变更后3日内及时书面通知对方，对方实际收到变更通知前的送达仍为有效送达。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22.3本合同一方给另一方的通知均应采用书面形式，传真或快递送到本合同中规定的对方的地址和办理签收手续。</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22.4通知以送达之日或通知书中规定的生效之日起生效，两者中以较迟之日为准。</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合同未尽事项</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23.1合同未尽事项见【政府采购合同专用条款】。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23.2 合同附件与合同正文具有同等的法律效力。</w:t>
      </w:r>
      <w:r/>
    </w:p>
    <w:p>
      <w:pPr>
        <w:pStyle w:val="830"/>
        <w:numPr>
          <w:numId w:val="0"/>
        </w:numPr>
        <w:ind w:left="2730"/>
        <w:jc w:val="both"/>
        <w:spacing w:before="156"/>
        <w:shd w:val="clear" w:color="auto"/>
      </w:pPr>
      <w:r/>
      <w:bookmarkStart w:id="137" w:name="_Toc27624"/>
      <w:r>
        <w:rPr>
          <w:rFonts w:hint="eastAsia" w:ascii="黑体" w:hAnsi="黑体" w:eastAsia="黑体"/>
          <w:b w:val="0"/>
          <w:bCs w:val="0"/>
          <w:color w:val="auto"/>
          <w:sz w:val="28"/>
          <w:szCs w:val="28"/>
          <w:highlight w:val="none"/>
          <w:lang w:val="en-US" w:eastAsia="zh-CN"/>
        </w:rPr>
        <w:t xml:space="preserve">第三节 </w:t>
      </w:r>
      <w:r>
        <w:rPr>
          <w:rFonts w:hint="eastAsia" w:ascii="黑体" w:hAnsi="黑体" w:eastAsia="黑体"/>
          <w:b w:val="0"/>
          <w:bCs w:val="0"/>
          <w:color w:val="auto"/>
          <w:sz w:val="28"/>
          <w:szCs w:val="28"/>
          <w:highlight w:val="none"/>
        </w:rPr>
        <w:t xml:space="preserve">政府采购合同通用条款</w:t>
      </w:r>
      <w:bookmarkEnd w:id="137"/>
      <w:r/>
      <w:r/>
    </w:p>
    <w:tbl>
      <w:tblPr>
        <w:tblStyle w:val="839"/>
        <w:tblW w:w="916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94"/>
        <w:gridCol w:w="1073"/>
        <w:gridCol w:w="6402"/>
      </w:tblGrid>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第1.2（6）项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联合体具体要求</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无。</w:t>
            </w:r>
            <w:r/>
          </w:p>
        </w:tc>
      </w:tr>
      <w:tr>
        <w:trPr>
          <w:trHeight w:val="604"/>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第1.2（7）项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其他术语解释</w:t>
            </w:r>
            <w:r/>
          </w:p>
        </w:tc>
        <w:tc>
          <w:tcPr>
            <w:tcW w:w="6402" w:type="dxa"/>
            <w:vAlign w:val="center"/>
            <w:textDirection w:val="lrTb"/>
            <w:noWrap w:val="false"/>
          </w:tcPr>
          <w:p>
            <w:pPr>
              <w:jc w:val="left"/>
              <w:shd w:val="clear" w:color="auto"/>
              <w:rPr>
                <w:rFonts w:ascii="宋体" w:hAnsi="宋体"/>
                <w:color w:val="auto"/>
                <w:highlight w:val="none"/>
              </w:rPr>
            </w:pPr>
            <w:r>
              <w:rPr>
                <w:rFonts w:ascii="宋体" w:hAnsi="宋体"/>
                <w:color w:val="auto"/>
                <w:highlight w:val="none"/>
              </w:rPr>
              <w:t xml:space="preserve">税费</w:t>
            </w:r>
            <w:r>
              <w:rPr>
                <w:rFonts w:hint="eastAsia" w:ascii="宋体" w:hAnsi="宋体"/>
                <w:color w:val="auto"/>
                <w:highlight w:val="none"/>
              </w:rPr>
              <w:t xml:space="preserve">：</w:t>
            </w:r>
            <w:r>
              <w:rPr>
                <w:rFonts w:ascii="宋体" w:hAnsi="宋体"/>
                <w:color w:val="auto"/>
                <w:highlight w:val="none"/>
              </w:rPr>
              <w:t xml:space="preserve">中国政府根据现行税法规定对甲方征收的与本合同有关的一切税费由甲方负担；规定对乙方征收的与本合同有关的一切税费由乙方负担。</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第4.4款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履约验收中甲方提出异议或作出说明的期限</w:t>
            </w:r>
            <w:r/>
          </w:p>
        </w:tc>
        <w:tc>
          <w:tcPr>
            <w:tcW w:w="6402" w:type="dxa"/>
            <w:vAlign w:val="center"/>
            <w:textDirection w:val="lrTb"/>
            <w:noWrap w:val="false"/>
          </w:tcPr>
          <w:p>
            <w:pPr>
              <w:jc w:val="left"/>
              <w:shd w:val="clear" w:color="auto"/>
              <w:rPr>
                <w:color w:val="auto"/>
                <w:highlight w:val="none"/>
              </w:rPr>
            </w:pPr>
            <w:r>
              <w:rPr>
                <w:rFonts w:hint="eastAsia"/>
                <w:color w:val="auto"/>
                <w:highlight w:val="none"/>
              </w:rPr>
              <w:t xml:space="preserve">履约验收中甲方提出异议的期限：3个工作日。</w:t>
            </w:r>
            <w:r/>
          </w:p>
          <w:p>
            <w:pPr>
              <w:pStyle w:val="1331"/>
              <w:ind w:left="0" w:firstLine="0"/>
              <w:jc w:val="left"/>
              <w:shd w:val="clear" w:color="auto"/>
              <w:rPr>
                <w:rFonts w:hint="eastAsia"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履约验收中甲方作出说明的期限</w:t>
            </w:r>
            <w:r>
              <w:rPr>
                <w:rFonts w:hint="eastAsia" w:ascii="Times New Roman" w:hAnsi="Times New Roman" w:eastAsia="宋体" w:cs="Times New Roman"/>
                <w:color w:val="auto"/>
                <w:sz w:val="21"/>
                <w:highlight w:val="none"/>
              </w:rPr>
              <w:t xml:space="preserve">：3个工作日。</w:t>
            </w:r>
            <w:r/>
          </w:p>
          <w:p>
            <w:pPr>
              <w:pStyle w:val="1331"/>
              <w:ind w:left="0" w:firstLine="0"/>
              <w:jc w:val="left"/>
              <w:shd w:val="clear" w:color="auto"/>
              <w:rPr>
                <w:rFonts w:hint="default"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 xml:space="preserve">注：</w:t>
            </w:r>
            <w:r>
              <w:rPr>
                <w:rFonts w:hint="eastAsia" w:ascii="Times New Roman" w:hAnsi="Times New Roman" w:eastAsia="宋体" w:cs="Times New Roman"/>
                <w:color w:val="auto"/>
                <w:sz w:val="21"/>
                <w:highlight w:val="none"/>
              </w:rPr>
              <w:t xml:space="preserve">复验不合格后，乙方</w:t>
            </w:r>
            <w:r>
              <w:rPr>
                <w:rFonts w:hint="eastAsia" w:ascii="Times New Roman" w:hAnsi="Times New Roman" w:eastAsia="宋体" w:cs="Times New Roman"/>
                <w:color w:val="auto"/>
                <w:sz w:val="21"/>
                <w:highlight w:val="none"/>
                <w:lang w:val="en-US" w:eastAsia="zh-CN"/>
              </w:rPr>
              <w:t xml:space="preserve">2个工作日内</w:t>
            </w:r>
            <w:r>
              <w:rPr>
                <w:rFonts w:hint="eastAsia" w:ascii="Times New Roman" w:hAnsi="Times New Roman" w:eastAsia="宋体" w:cs="Times New Roman"/>
                <w:color w:val="auto"/>
                <w:sz w:val="21"/>
                <w:highlight w:val="none"/>
              </w:rPr>
              <w:t xml:space="preserve">移除设备，逾期不移除的</w:t>
            </w:r>
            <w:r>
              <w:rPr>
                <w:rFonts w:hint="eastAsia" w:ascii="Times New Roman" w:hAnsi="Times New Roman" w:eastAsia="宋体" w:cs="Times New Roman"/>
                <w:color w:val="auto"/>
                <w:sz w:val="21"/>
                <w:highlight w:val="none"/>
                <w:lang w:val="en-US" w:eastAsia="zh-CN"/>
              </w:rPr>
              <w:t xml:space="preserve">甲方强制处理。</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第4.6款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约定甲方承担的其他义务和责任</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无。</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color w:val="auto"/>
                <w:highlight w:val="none"/>
              </w:rPr>
            </w:pPr>
            <w:r>
              <w:rPr>
                <w:rFonts w:hint="eastAsia" w:ascii="宋体" w:hAnsi="宋体"/>
                <w:color w:val="auto"/>
                <w:highlight w:val="none"/>
              </w:rPr>
              <w:t xml:space="preserve">第5.4款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约定乙方承担的其他义务和责任</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无。</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第6.1款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履行合同义务的顺序</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（1）政府采购合同协议书及其变更、补充协议；</w:t>
            </w:r>
            <w:r/>
          </w:p>
          <w:p>
            <w:pPr>
              <w:jc w:val="left"/>
              <w:shd w:val="clear" w:color="auto"/>
              <w:rPr>
                <w:rFonts w:ascii="宋体" w:hAnsi="宋体"/>
                <w:color w:val="auto"/>
                <w:highlight w:val="none"/>
              </w:rPr>
            </w:pPr>
            <w:r>
              <w:rPr>
                <w:rFonts w:hint="eastAsia" w:ascii="宋体" w:hAnsi="宋体"/>
                <w:color w:val="auto"/>
                <w:highlight w:val="none"/>
              </w:rPr>
              <w:t xml:space="preserve">（2）政府采购合同专用条款；</w:t>
            </w:r>
            <w:r/>
          </w:p>
          <w:p>
            <w:pPr>
              <w:jc w:val="left"/>
              <w:shd w:val="clear" w:color="auto"/>
              <w:rPr>
                <w:rFonts w:ascii="宋体" w:hAnsi="宋体"/>
                <w:color w:val="auto"/>
                <w:highlight w:val="none"/>
              </w:rPr>
            </w:pPr>
            <w:r>
              <w:rPr>
                <w:rFonts w:hint="eastAsia" w:ascii="宋体" w:hAnsi="宋体"/>
                <w:color w:val="auto"/>
                <w:highlight w:val="none"/>
              </w:rPr>
              <w:t xml:space="preserve">（3）政府采购合同通用条款；</w:t>
            </w:r>
            <w:r/>
          </w:p>
          <w:p>
            <w:pPr>
              <w:jc w:val="left"/>
              <w:shd w:val="clear" w:color="auto"/>
              <w:rPr>
                <w:rFonts w:ascii="宋体" w:hAnsi="宋体"/>
                <w:color w:val="auto"/>
                <w:highlight w:val="none"/>
              </w:rPr>
            </w:pPr>
            <w:r>
              <w:rPr>
                <w:rFonts w:hint="eastAsia" w:ascii="宋体" w:hAnsi="宋体"/>
                <w:color w:val="auto"/>
                <w:highlight w:val="none"/>
              </w:rPr>
              <w:t xml:space="preserve">（4）中标（成交）通知书；</w:t>
            </w:r>
            <w:r/>
          </w:p>
          <w:p>
            <w:pPr>
              <w:jc w:val="left"/>
              <w:shd w:val="clear" w:color="auto"/>
              <w:rPr>
                <w:rFonts w:ascii="宋体" w:hAnsi="宋体"/>
                <w:color w:val="auto"/>
                <w:highlight w:val="none"/>
              </w:rPr>
            </w:pPr>
            <w:r>
              <w:rPr>
                <w:rFonts w:hint="eastAsia" w:ascii="宋体" w:hAnsi="宋体"/>
                <w:color w:val="auto"/>
                <w:highlight w:val="none"/>
              </w:rPr>
              <w:t xml:space="preserve">（5）投标（响应）文件；</w:t>
            </w:r>
            <w:r/>
          </w:p>
          <w:p>
            <w:pPr>
              <w:jc w:val="left"/>
              <w:shd w:val="clear" w:color="auto"/>
              <w:rPr>
                <w:rFonts w:ascii="宋体" w:hAnsi="宋体"/>
                <w:color w:val="auto"/>
                <w:highlight w:val="none"/>
              </w:rPr>
            </w:pPr>
            <w:r>
              <w:rPr>
                <w:rFonts w:hint="eastAsia" w:ascii="宋体" w:hAnsi="宋体"/>
                <w:color w:val="auto"/>
                <w:highlight w:val="none"/>
              </w:rPr>
              <w:t xml:space="preserve">（6）采购文件；</w:t>
            </w:r>
            <w:r/>
          </w:p>
          <w:p>
            <w:pPr>
              <w:jc w:val="left"/>
              <w:shd w:val="clear" w:color="auto"/>
              <w:rPr>
                <w:rFonts w:ascii="宋体" w:hAnsi="宋体"/>
                <w:color w:val="auto"/>
                <w:highlight w:val="none"/>
              </w:rPr>
            </w:pPr>
            <w:r>
              <w:rPr>
                <w:rFonts w:hint="eastAsia" w:ascii="宋体" w:hAnsi="宋体"/>
                <w:color w:val="auto"/>
                <w:highlight w:val="none"/>
              </w:rPr>
              <w:t xml:space="preserve">（7）有关技术文件，图纸；</w:t>
            </w:r>
            <w:r/>
          </w:p>
          <w:p>
            <w:pPr>
              <w:jc w:val="left"/>
              <w:shd w:val="clear" w:color="auto"/>
              <w:rPr>
                <w:rFonts w:ascii="宋体" w:hAnsi="宋体"/>
                <w:color w:val="auto"/>
                <w:highlight w:val="none"/>
              </w:rPr>
            </w:pPr>
            <w:r>
              <w:rPr>
                <w:rFonts w:hint="eastAsia" w:ascii="宋体" w:hAnsi="宋体"/>
                <w:color w:val="auto"/>
                <w:highlight w:val="none"/>
              </w:rPr>
              <w:t xml:space="preserve">（8）国家法律、行政法规和规章制度规定或合同约定的作为合同组成部分的其他文件。</w:t>
            </w:r>
            <w:r/>
          </w:p>
        </w:tc>
      </w:tr>
      <w:tr>
        <w:trPr>
          <w:trHeight w:val="667"/>
        </w:trPr>
        <w:tc>
          <w:tcPr>
            <w:tcW w:w="1694" w:type="dxa"/>
            <w:vAlign w:val="center"/>
            <w:vMerge w:val="restart"/>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第7.1款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包装特殊要求</w:t>
            </w:r>
            <w:r/>
          </w:p>
        </w:tc>
        <w:tc>
          <w:tcPr>
            <w:tcW w:w="6402" w:type="dxa"/>
            <w:vAlign w:val="center"/>
            <w:textDirection w:val="lrTb"/>
            <w:noWrap w:val="false"/>
          </w:tcPr>
          <w:p>
            <w:pPr>
              <w:jc w:val="left"/>
              <w:shd w:val="clear" w:color="auto"/>
              <w:rPr>
                <w:color w:val="auto"/>
                <w:highlight w:val="none"/>
              </w:rPr>
            </w:pPr>
            <w:r>
              <w:rPr>
                <w:rFonts w:hint="eastAsia"/>
                <w:color w:val="auto"/>
                <w:highlight w:val="none"/>
              </w:rPr>
              <w:t xml:space="preserve">商品包装、快递包装政府采购需求标准</w:t>
            </w:r>
            <w:r/>
          </w:p>
          <w:p>
            <w:pPr>
              <w:jc w:val="left"/>
              <w:shd w:val="clear" w:color="auto"/>
              <w:rPr>
                <w:color w:val="auto"/>
                <w:highlight w:val="none"/>
              </w:rPr>
            </w:pPr>
            <w:r>
              <w:rPr>
                <w:rFonts w:hint="eastAsia"/>
                <w:color w:val="auto"/>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jc w:val="left"/>
              <w:shd w:val="clear" w:color="auto"/>
              <w:rPr>
                <w:color w:val="auto"/>
                <w:highlight w:val="none"/>
              </w:rPr>
            </w:pPr>
            <w:r>
              <w:rPr>
                <w:rFonts w:hint="eastAsia"/>
                <w:color w:val="auto"/>
                <w:highlight w:val="none"/>
              </w:rPr>
              <w:t xml:space="preserve">1.商品包装环保要求</w:t>
            </w:r>
            <w:r/>
          </w:p>
          <w:p>
            <w:pPr>
              <w:jc w:val="left"/>
              <w:shd w:val="clear" w:color="auto"/>
              <w:rPr>
                <w:color w:val="auto"/>
                <w:highlight w:val="none"/>
              </w:rPr>
            </w:pPr>
            <w:r>
              <w:rPr>
                <w:rFonts w:hint="eastAsia"/>
                <w:color w:val="auto"/>
                <w:highlight w:val="none"/>
              </w:rPr>
              <w:t xml:space="preserve">（1）商品包装层数不得超过 3 层，空隙率不大于 40%；</w:t>
            </w:r>
            <w:r/>
          </w:p>
          <w:p>
            <w:pPr>
              <w:jc w:val="left"/>
              <w:shd w:val="clear" w:color="auto"/>
              <w:rPr>
                <w:color w:val="auto"/>
                <w:highlight w:val="none"/>
              </w:rPr>
            </w:pPr>
            <w:r>
              <w:rPr>
                <w:rFonts w:hint="eastAsia"/>
                <w:color w:val="auto"/>
                <w:highlight w:val="none"/>
              </w:rPr>
              <w:t xml:space="preserve">（2）商品包装尽可能使用单一材质的包装材料，如因功能 需求必需使用不同材质，不同材质间应便于分离；</w:t>
            </w:r>
            <w:r/>
          </w:p>
          <w:p>
            <w:pPr>
              <w:jc w:val="left"/>
              <w:shd w:val="clear" w:color="auto"/>
              <w:rPr>
                <w:color w:val="auto"/>
                <w:highlight w:val="none"/>
              </w:rPr>
            </w:pPr>
            <w:r>
              <w:rPr>
                <w:rFonts w:hint="eastAsia"/>
                <w:color w:val="auto"/>
                <w:highlight w:val="none"/>
              </w:rPr>
              <w:t xml:space="preserve">（3）商品包装中铅、汞、镉、六价铬的总含量应不大于 100mg/kg；</w:t>
            </w:r>
            <w:r/>
          </w:p>
          <w:p>
            <w:pPr>
              <w:jc w:val="left"/>
              <w:shd w:val="clear" w:color="auto"/>
              <w:rPr>
                <w:color w:val="auto"/>
                <w:highlight w:val="none"/>
              </w:rPr>
            </w:pPr>
            <w:r>
              <w:rPr>
                <w:rFonts w:hint="eastAsia"/>
                <w:color w:val="auto"/>
                <w:highlight w:val="none"/>
              </w:rPr>
              <w:t xml:space="preserve">（4）商品包装印刷使用的油墨中挥发性有机化合物(VOCs) 含量应不大于 5%（以重量计）；</w:t>
            </w:r>
            <w:r/>
          </w:p>
          <w:p>
            <w:pPr>
              <w:jc w:val="left"/>
              <w:shd w:val="clear" w:color="auto"/>
              <w:rPr>
                <w:color w:val="auto"/>
                <w:highlight w:val="none"/>
              </w:rPr>
            </w:pPr>
            <w:r>
              <w:rPr>
                <w:rFonts w:hint="eastAsia"/>
                <w:color w:val="auto"/>
                <w:highlight w:val="none"/>
              </w:rPr>
              <w:t xml:space="preserve">（5）塑料材质商品包装上呈现的印刷颜色不得超过 6 色；</w:t>
            </w:r>
            <w:r/>
          </w:p>
          <w:p>
            <w:pPr>
              <w:jc w:val="left"/>
              <w:shd w:val="clear" w:color="auto"/>
              <w:rPr>
                <w:color w:val="auto"/>
                <w:highlight w:val="none"/>
              </w:rPr>
            </w:pPr>
            <w:r>
              <w:rPr>
                <w:rFonts w:hint="eastAsia"/>
                <w:color w:val="auto"/>
                <w:highlight w:val="none"/>
              </w:rPr>
              <w:t xml:space="preserve">（6）纸质商品包装应使用75%以上的可再生纤维原料生产；</w:t>
            </w:r>
            <w:r/>
          </w:p>
          <w:p>
            <w:pPr>
              <w:jc w:val="left"/>
              <w:shd w:val="clear" w:color="auto"/>
              <w:rPr>
                <w:color w:val="auto"/>
                <w:highlight w:val="none"/>
              </w:rPr>
            </w:pPr>
            <w:r>
              <w:rPr>
                <w:rFonts w:hint="eastAsia"/>
                <w:color w:val="auto"/>
                <w:highlight w:val="none"/>
              </w:rPr>
              <w:t xml:space="preserve">（7）木质商品包装的原料应来源于可持续性森林。</w:t>
            </w:r>
            <w:r/>
          </w:p>
          <w:p>
            <w:pPr>
              <w:ind w:firstLine="0"/>
              <w:jc w:val="left"/>
              <w:shd w:val="clear" w:color="auto"/>
              <w:rPr>
                <w:rFonts w:hint="eastAsia"/>
                <w:color w:val="auto"/>
                <w:highlight w:val="none"/>
              </w:rPr>
            </w:pPr>
            <w:r>
              <w:rPr>
                <w:rFonts w:hint="eastAsia"/>
                <w:color w:val="auto"/>
                <w:highlight w:val="none"/>
              </w:rPr>
              <w:t xml:space="preserve">注：检测方法1.商品包装中重金属（铅、汞、镉、六价铬）总量的检测按照GB/T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jc w:val="left"/>
              <w:shd w:val="clear" w:color="auto"/>
              <w:rPr>
                <w:color w:val="auto"/>
                <w:highlight w:val="none"/>
              </w:rPr>
            </w:pPr>
            <w:r>
              <w:rPr>
                <w:rFonts w:hint="eastAsia"/>
                <w:color w:val="auto"/>
                <w:highlight w:val="none"/>
              </w:rPr>
              <w:t xml:space="preserve">2.快递包装环保要求</w:t>
            </w:r>
            <w:r/>
          </w:p>
          <w:p>
            <w:pPr>
              <w:jc w:val="left"/>
              <w:shd w:val="clear" w:color="auto"/>
              <w:rPr>
                <w:color w:val="auto"/>
                <w:highlight w:val="none"/>
              </w:rPr>
            </w:pPr>
            <w:r>
              <w:rPr>
                <w:rFonts w:hint="eastAsia"/>
                <w:color w:val="auto"/>
                <w:highlight w:val="none"/>
              </w:rPr>
              <w:t xml:space="preserve">（1）快递包装中重金属（铅、汞、镉、六价铬）总量应不大于100mg/kg；</w:t>
            </w:r>
            <w:r/>
          </w:p>
          <w:p>
            <w:pPr>
              <w:jc w:val="left"/>
              <w:shd w:val="clear" w:color="auto"/>
              <w:rPr>
                <w:color w:val="auto"/>
                <w:highlight w:val="none"/>
              </w:rPr>
            </w:pPr>
            <w:r>
              <w:rPr>
                <w:rFonts w:hint="eastAsia"/>
                <w:color w:val="auto"/>
                <w:highlight w:val="none"/>
              </w:rPr>
              <w:t xml:space="preserve">（2）快递包装印刷使用的油墨中不应添加邻苯二甲酸酯，其挥发性有机化合物(VOCs)含量应不大于5%（以重量计）；</w:t>
            </w:r>
            <w:r/>
          </w:p>
          <w:p>
            <w:pPr>
              <w:jc w:val="left"/>
              <w:shd w:val="clear" w:color="auto"/>
              <w:rPr>
                <w:color w:val="auto"/>
                <w:highlight w:val="none"/>
              </w:rPr>
            </w:pPr>
            <w:r>
              <w:rPr>
                <w:rFonts w:hint="eastAsia"/>
                <w:color w:val="auto"/>
                <w:highlight w:val="none"/>
              </w:rPr>
              <w:t xml:space="preserve">（3）快递包装中使用纸基材的包装材料，纸基材中的有机氯的含量应不大于150 mg/kg；</w:t>
            </w:r>
            <w:r/>
          </w:p>
          <w:p>
            <w:pPr>
              <w:jc w:val="left"/>
              <w:shd w:val="clear" w:color="auto"/>
              <w:rPr>
                <w:color w:val="auto"/>
                <w:highlight w:val="none"/>
              </w:rPr>
            </w:pPr>
            <w:r>
              <w:rPr>
                <w:rFonts w:hint="eastAsia"/>
                <w:color w:val="auto"/>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jc w:val="left"/>
              <w:shd w:val="clear" w:color="auto"/>
              <w:rPr>
                <w:color w:val="auto"/>
                <w:highlight w:val="none"/>
              </w:rPr>
            </w:pPr>
            <w:r>
              <w:rPr>
                <w:rFonts w:hint="eastAsia"/>
                <w:color w:val="auto"/>
                <w:highlight w:val="none"/>
              </w:rPr>
              <w:t xml:space="preserve">（5）快递中使用的塑料包装袋不得使用聚氯乙烯作为原料，且原料应为单一材质制成，生物分解率大于60%；</w:t>
            </w:r>
            <w:r/>
          </w:p>
          <w:p>
            <w:pPr>
              <w:jc w:val="left"/>
              <w:shd w:val="clear" w:color="auto"/>
              <w:rPr>
                <w:color w:val="auto"/>
                <w:highlight w:val="none"/>
              </w:rPr>
            </w:pPr>
            <w:r>
              <w:rPr>
                <w:rFonts w:hint="eastAsia"/>
                <w:color w:val="auto"/>
                <w:highlight w:val="none"/>
              </w:rPr>
              <w:t xml:space="preserve">（6）快递中使用的充气类填充物不得使用聚氯乙烯作为原料，且原料为单一材质制成，生物分解率大于60%；</w:t>
            </w:r>
            <w:r/>
          </w:p>
          <w:p>
            <w:pPr>
              <w:jc w:val="left"/>
              <w:shd w:val="clear" w:color="auto"/>
              <w:rPr>
                <w:color w:val="auto"/>
                <w:highlight w:val="none"/>
              </w:rPr>
            </w:pPr>
            <w:r>
              <w:rPr>
                <w:rFonts w:hint="eastAsia"/>
                <w:color w:val="auto"/>
                <w:highlight w:val="none"/>
              </w:rPr>
              <w:t xml:space="preserve">（7）快递中使用的集装袋应为单一材质制成，其重复使用次数应不小于80 次；</w:t>
            </w:r>
            <w:r/>
          </w:p>
          <w:p>
            <w:pPr>
              <w:jc w:val="left"/>
              <w:shd w:val="clear" w:color="auto"/>
              <w:rPr>
                <w:color w:val="auto"/>
                <w:highlight w:val="none"/>
              </w:rPr>
            </w:pPr>
            <w:r>
              <w:rPr>
                <w:rFonts w:hint="eastAsia"/>
                <w:color w:val="auto"/>
                <w:highlight w:val="none"/>
              </w:rPr>
              <w:t xml:space="preserve">（8）快递中应使用幅宽不大于45mm 的生物降解胶带；</w:t>
            </w:r>
            <w:r/>
          </w:p>
          <w:p>
            <w:pPr>
              <w:jc w:val="left"/>
              <w:shd w:val="clear" w:color="auto"/>
              <w:rPr>
                <w:color w:val="auto"/>
                <w:highlight w:val="none"/>
              </w:rPr>
            </w:pPr>
            <w:r>
              <w:rPr>
                <w:rFonts w:hint="eastAsia"/>
                <w:color w:val="auto"/>
                <w:highlight w:val="none"/>
              </w:rPr>
              <w:t xml:space="preserve">（9）快递包装中不得使用溶剂型胶粘剂；</w:t>
            </w:r>
            <w:r/>
          </w:p>
          <w:p>
            <w:pPr>
              <w:jc w:val="left"/>
              <w:shd w:val="clear" w:color="auto"/>
              <w:rPr>
                <w:color w:val="auto"/>
                <w:highlight w:val="none"/>
              </w:rPr>
            </w:pPr>
            <w:r>
              <w:rPr>
                <w:rFonts w:hint="eastAsia"/>
                <w:color w:val="auto"/>
                <w:highlight w:val="none"/>
              </w:rPr>
              <w:t xml:space="preserve">（10）快递应使用电子面单；</w:t>
            </w:r>
            <w:r/>
          </w:p>
          <w:p>
            <w:pPr>
              <w:jc w:val="left"/>
              <w:shd w:val="clear" w:color="auto"/>
              <w:rPr>
                <w:color w:val="auto"/>
                <w:highlight w:val="none"/>
              </w:rPr>
            </w:pPr>
            <w:r>
              <w:rPr>
                <w:rFonts w:hint="eastAsia"/>
                <w:color w:val="auto"/>
                <w:highlight w:val="none"/>
              </w:rPr>
              <w:t xml:space="preserve">（11）直接使用商品包装作为快递包装的商品，其商品包装满足《商品包装政府采购需求标准（试行）》即可；</w:t>
            </w:r>
            <w:r/>
          </w:p>
          <w:p>
            <w:pPr>
              <w:jc w:val="left"/>
              <w:shd w:val="clear" w:color="auto"/>
              <w:rPr>
                <w:color w:val="auto"/>
                <w:highlight w:val="none"/>
              </w:rPr>
            </w:pPr>
            <w:r>
              <w:rPr>
                <w:rFonts w:hint="eastAsia"/>
                <w:color w:val="auto"/>
                <w:highlight w:val="none"/>
              </w:rPr>
              <w:t xml:space="preserve">（12）快递包装产品质量和封装方式应符合相关国家或行业标准技术指标要求。</w:t>
            </w:r>
            <w:r/>
          </w:p>
        </w:tc>
      </w:tr>
      <w:tr>
        <w:trPr>
          <w:trHeight w:val="476"/>
        </w:trPr>
        <w:tc>
          <w:tcPr>
            <w:tcW w:w="1694" w:type="dxa"/>
            <w:vAlign w:val="center"/>
            <w:vMerge w:val="continue"/>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指定现场</w:t>
            </w:r>
            <w:r/>
          </w:p>
        </w:tc>
        <w:tc>
          <w:tcPr>
            <w:tcW w:w="6402" w:type="dxa"/>
            <w:vAlign w:val="center"/>
            <w:textDirection w:val="lrTb"/>
            <w:noWrap w:val="false"/>
          </w:tcPr>
          <w:p>
            <w:pPr>
              <w:jc w:val="left"/>
              <w:shd w:val="clear" w:color="auto"/>
              <w:rPr>
                <w:color w:val="auto"/>
                <w:highlight w:val="none"/>
              </w:rPr>
            </w:pPr>
            <w:r>
              <w:rPr>
                <w:rFonts w:hint="eastAsia"/>
                <w:color w:val="auto"/>
                <w:highlight w:val="none"/>
              </w:rPr>
              <w:t xml:space="preserve">甲方指定地点。</w:t>
            </w:r>
            <w:r/>
          </w:p>
        </w:tc>
      </w:tr>
      <w:tr>
        <w:trPr>
          <w:trHeight w:val="431"/>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第7.2款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运输特殊要求</w:t>
            </w:r>
            <w:r/>
          </w:p>
        </w:tc>
        <w:tc>
          <w:tcPr>
            <w:tcW w:w="6402" w:type="dxa"/>
            <w:vAlign w:val="center"/>
            <w:textDirection w:val="lrTb"/>
            <w:noWrap w:val="false"/>
          </w:tcPr>
          <w:p>
            <w:pPr>
              <w:jc w:val="left"/>
              <w:shd w:val="clear" w:color="auto"/>
              <w:rPr>
                <w:color w:val="auto"/>
                <w:highlight w:val="none"/>
              </w:rPr>
            </w:pPr>
            <w:r>
              <w:rPr>
                <w:rFonts w:hint="eastAsia"/>
                <w:color w:val="auto"/>
                <w:highlight w:val="none"/>
              </w:rPr>
              <w:t xml:space="preserve">由乙方视情况自定运输方式，费用自负。</w:t>
            </w:r>
            <w:r/>
          </w:p>
        </w:tc>
      </w:tr>
      <w:tr>
        <w:trPr>
          <w:trHeight w:val="1927"/>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第7.3款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保险要求</w:t>
            </w:r>
            <w:r/>
          </w:p>
        </w:tc>
        <w:tc>
          <w:tcPr>
            <w:tcW w:w="6402" w:type="dxa"/>
            <w:vAlign w:val="center"/>
            <w:textDirection w:val="lrTb"/>
            <w:noWrap w:val="false"/>
          </w:tcPr>
          <w:p>
            <w:pPr>
              <w:jc w:val="left"/>
              <w:shd w:val="clear" w:color="auto"/>
              <w:rPr>
                <w:color w:val="auto"/>
                <w:highlight w:val="none"/>
              </w:rPr>
            </w:pPr>
            <w:r>
              <w:rPr>
                <w:rFonts w:hint="eastAsia"/>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841"/>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第8.2（1）项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质量保证期</w:t>
            </w:r>
            <w:r/>
          </w:p>
        </w:tc>
        <w:tc>
          <w:tcPr>
            <w:tcW w:w="6402" w:type="dxa"/>
            <w:vAlign w:val="center"/>
            <w:textDirection w:val="lrTb"/>
            <w:noWrap w:val="false"/>
          </w:tcPr>
          <w:p>
            <w:pPr>
              <w:pStyle w:val="868"/>
              <w:ind w:firstLine="0"/>
              <w:jc w:val="left"/>
              <w:shd w:val="clear" w:color="auto"/>
              <w:rPr>
                <w:color w:val="auto"/>
                <w:highlight w:val="none"/>
              </w:rPr>
            </w:pPr>
            <w:r>
              <w:rPr>
                <w:rFonts w:hint="eastAsia" w:ascii="Times New Roman" w:hAnsi="Times New Roman"/>
                <w:bCs/>
                <w:color w:val="auto"/>
                <w:highlight w:val="none"/>
              </w:rPr>
              <w:t xml:space="preserve">签订合同时根据乙方投标文件响应内容。</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第8.2（3）项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货物质量缺陷响应时间</w:t>
            </w:r>
            <w:r/>
          </w:p>
        </w:tc>
        <w:tc>
          <w:tcPr>
            <w:tcW w:w="6402" w:type="dxa"/>
            <w:vAlign w:val="center"/>
            <w:textDirection w:val="lrTb"/>
            <w:noWrap w:val="false"/>
          </w:tcPr>
          <w:p>
            <w:pPr>
              <w:jc w:val="left"/>
              <w:shd w:val="clear" w:color="auto"/>
              <w:rPr>
                <w:color w:val="auto"/>
                <w:highlight w:val="none"/>
              </w:rPr>
            </w:pPr>
            <w:r>
              <w:rPr>
                <w:rFonts w:hint="eastAsia"/>
                <w:b/>
                <w:bCs/>
                <w:color w:val="auto"/>
                <w:highlight w:val="none"/>
              </w:rPr>
              <w:t xml:space="preserve">签订合同时根据乙方投标文件响应内容。</w:t>
            </w:r>
            <w:r/>
          </w:p>
        </w:tc>
      </w:tr>
      <w:tr>
        <w:trPr>
          <w:trHeight w:val="624"/>
        </w:trPr>
        <w:tc>
          <w:tcPr>
            <w:tcW w:w="1694"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第二节</w:t>
            </w:r>
            <w:r/>
          </w:p>
          <w:p>
            <w:pPr>
              <w:pStyle w:val="1331"/>
              <w:ind w:firstLine="0"/>
              <w:jc w:val="center"/>
              <w:shd w:val="clear" w:color="auto"/>
              <w:rPr>
                <w:color w:val="auto"/>
                <w:highlight w:val="none"/>
              </w:rPr>
            </w:pPr>
            <w:r>
              <w:rPr>
                <w:rFonts w:hint="eastAsia" w:ascii="宋体" w:hAnsi="宋体" w:eastAsia="宋体" w:cs="宋体"/>
                <w:color w:val="auto"/>
                <w:highlight w:val="none"/>
              </w:rPr>
              <w:t xml:space="preserve">第11.1款</w:t>
            </w:r>
            <w:r/>
          </w:p>
        </w:tc>
        <w:tc>
          <w:tcPr>
            <w:tcW w:w="1073" w:type="dxa"/>
            <w:vAlign w:val="center"/>
            <w:textDirection w:val="lrTb"/>
            <w:noWrap w:val="false"/>
          </w:tcPr>
          <w:p>
            <w:pPr>
              <w:shd w:val="clear" w:color="auto"/>
              <w:rPr>
                <w:rFonts w:ascii="宋体" w:hAnsi="宋体"/>
                <w:color w:val="auto"/>
                <w:highlight w:val="none"/>
              </w:rPr>
            </w:pPr>
            <w:r>
              <w:rPr>
                <w:rFonts w:hint="eastAsia" w:ascii="宋体" w:hAnsi="宋体"/>
                <w:color w:val="auto"/>
                <w:highlight w:val="none"/>
              </w:rPr>
              <w:t xml:space="preserve">其他应当保密的信息</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无。</w:t>
            </w:r>
            <w:r/>
          </w:p>
        </w:tc>
      </w:tr>
      <w:tr>
        <w:trPr>
          <w:trHeight w:val="511"/>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第12.2款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合同价款支付时间</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自收到乙方发票后10个工作日内。</w:t>
            </w:r>
            <w:r/>
          </w:p>
        </w:tc>
      </w:tr>
      <w:tr>
        <w:trPr>
          <w:trHeight w:val="65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第13.2款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履约保证金不予退还的情形</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s="宋体"/>
                <w:bCs/>
                <w:color w:val="auto"/>
                <w:highlight w:val="none"/>
              </w:rPr>
              <w:t xml:space="preserve">除不可抗力外，乙方不履行与甲方订立的采购合同的，履约保证金不予退还，给甲方造成的损失超过履约保证金数额的，还应当对超过部分予以赔偿。</w:t>
            </w:r>
            <w:r/>
          </w:p>
        </w:tc>
      </w:tr>
      <w:tr>
        <w:trPr>
          <w:trHeight w:val="35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第13.3款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履约保证金退还时间及逾期退还的违约金</w:t>
            </w:r>
            <w:r/>
          </w:p>
        </w:tc>
        <w:tc>
          <w:tcPr>
            <w:tcW w:w="6402" w:type="dxa"/>
            <w:vAlign w:val="center"/>
            <w:textDirection w:val="lrTb"/>
            <w:noWrap w:val="false"/>
          </w:tcPr>
          <w:p>
            <w:pPr>
              <w:jc w:val="left"/>
              <w:spacing w:line="240" w:lineRule="atLeast"/>
              <w:shd w:val="clear" w:color="auto"/>
              <w:rPr>
                <w:rFonts w:ascii="宋体" w:hAnsi="宋体"/>
                <w:color w:val="auto"/>
                <w:highlight w:val="none"/>
              </w:rPr>
            </w:pPr>
            <w:r>
              <w:rPr>
                <w:rFonts w:hint="eastAsia" w:ascii="宋体" w:hAnsi="宋体" w:cs="宋体"/>
                <w:bCs/>
                <w:color w:val="auto"/>
                <w:highlight w:val="none"/>
              </w:rPr>
              <w:t xml:space="preserve">除应当退还履约保证金外，还应当按中国人民银行同期贷款基准利率上浮20％后的利率支付超期资金占用费，但因乙方自身原因导致无法及时退还的除外。</w:t>
            </w:r>
            <w:r/>
          </w:p>
        </w:tc>
      </w:tr>
      <w:tr>
        <w:trPr>
          <w:trHeight w:val="784"/>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第14.1（3）项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运行监督、维修期限</w:t>
            </w:r>
            <w:r/>
          </w:p>
        </w:tc>
        <w:tc>
          <w:tcPr>
            <w:tcW w:w="6402" w:type="dxa"/>
            <w:vAlign w:val="center"/>
            <w:textDirection w:val="lrTb"/>
            <w:noWrap w:val="false"/>
          </w:tcPr>
          <w:p>
            <w:pPr>
              <w:jc w:val="left"/>
              <w:shd w:val="clear" w:color="auto"/>
              <w:rPr>
                <w:rFonts w:ascii="宋体" w:hAnsi="宋体"/>
                <w:color w:val="auto"/>
                <w:highlight w:val="none"/>
              </w:rPr>
            </w:pPr>
            <w:r>
              <w:rPr>
                <w:rFonts w:hint="eastAsia"/>
                <w:b/>
                <w:bCs/>
                <w:color w:val="auto"/>
                <w:highlight w:val="none"/>
              </w:rPr>
              <w:t xml:space="preserve">签订合同时根据乙方投标文件响应内容</w:t>
            </w:r>
            <w:r/>
          </w:p>
        </w:tc>
      </w:tr>
      <w:tr>
        <w:trPr>
          <w:trHeight w:val="784"/>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第14.1（5）项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货物回收的约定</w:t>
            </w:r>
            <w:r/>
          </w:p>
        </w:tc>
        <w:tc>
          <w:tcPr>
            <w:tcW w:w="6402" w:type="dxa"/>
            <w:vAlign w:val="center"/>
            <w:textDirection w:val="lrTb"/>
            <w:noWrap w:val="false"/>
          </w:tcPr>
          <w:p>
            <w:pPr>
              <w:jc w:val="left"/>
              <w:shd w:val="clear" w:color="auto"/>
              <w:rPr>
                <w:rFonts w:ascii="宋体" w:hAnsi="宋体"/>
                <w:color w:val="auto"/>
                <w:highlight w:val="none"/>
              </w:rPr>
            </w:pPr>
            <w:r>
              <w:rPr>
                <w:rFonts w:ascii="宋体" w:hAnsi="宋体"/>
                <w:color w:val="auto"/>
                <w:highlight w:val="none"/>
              </w:rPr>
              <w:t xml:space="preserve">由甲乙双方合议定价</w:t>
            </w:r>
            <w:r>
              <w:rPr>
                <w:rFonts w:hint="eastAsia" w:ascii="宋体" w:hAnsi="宋体"/>
                <w:color w:val="auto"/>
                <w:highlight w:val="none"/>
              </w:rPr>
              <w:t xml:space="preserve">。</w:t>
            </w:r>
            <w:r/>
          </w:p>
        </w:tc>
      </w:tr>
      <w:tr>
        <w:trPr>
          <w:trHeight w:val="614"/>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第14.1（6）项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乙方提供的其他服务</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详见乙方投标文件。</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第15.1款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修理、重作、更换相关具体规定</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b/>
                <w:bCs/>
                <w:color w:val="auto"/>
                <w:highlight w:val="none"/>
              </w:rPr>
              <w:t xml:space="preserve">签订合同时根据乙方投标文件响应内容</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第15.2（2）项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迟延交货赔偿费</w:t>
            </w:r>
            <w:r/>
          </w:p>
        </w:tc>
        <w:tc>
          <w:tcPr>
            <w:tcW w:w="6402" w:type="dxa"/>
            <w:vAlign w:val="center"/>
            <w:textDirection w:val="lrTb"/>
            <w:noWrap w:val="false"/>
          </w:tcPr>
          <w:p>
            <w:pPr>
              <w:jc w:val="left"/>
              <w:shd w:val="clear" w:color="auto"/>
              <w:rPr>
                <w:rFonts w:ascii="宋体" w:hAnsi="宋体"/>
                <w:color w:val="auto"/>
                <w:highlight w:val="none"/>
              </w:rPr>
            </w:pPr>
            <w:r>
              <w:rPr>
                <w:rFonts w:ascii="宋体" w:hAnsi="宋体"/>
                <w:color w:val="auto"/>
                <w:highlight w:val="none"/>
              </w:rPr>
              <w:t xml:space="preserve">乙方不按期完成合同约定的内容，应向甲方支付违约金，除甲方或不可抗力造成原因外，每延迟交付一天，按合同总价款的</w:t>
            </w:r>
            <w:r>
              <w:rPr>
                <w:rFonts w:hint="eastAsia" w:ascii="宋体" w:hAnsi="宋体"/>
                <w:color w:val="auto"/>
                <w:highlight w:val="none"/>
              </w:rPr>
              <w:t xml:space="preserve">万分之一</w:t>
            </w:r>
            <w:r>
              <w:rPr>
                <w:rFonts w:ascii="宋体" w:hAnsi="宋体"/>
                <w:color w:val="auto"/>
                <w:highlight w:val="none"/>
              </w:rPr>
              <w:t xml:space="preserve">支付违约金，违约金可直接从合同总价款中扣除；延期超过</w:t>
            </w:r>
            <w:r>
              <w:rPr>
                <w:rFonts w:hint="eastAsia" w:ascii="宋体" w:hAnsi="宋体"/>
                <w:color w:val="auto"/>
                <w:highlight w:val="none"/>
                <w:lang w:val="en-US" w:eastAsia="zh-CN"/>
              </w:rPr>
              <w:t xml:space="preserve">30</w:t>
            </w:r>
            <w:r>
              <w:rPr>
                <w:rFonts w:ascii="宋体" w:hAnsi="宋体"/>
                <w:color w:val="auto"/>
                <w:highlight w:val="none"/>
              </w:rPr>
              <w:t xml:space="preserve">日，甲方有权强制解除合同。</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第15.3款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逾期付款利息</w:t>
            </w:r>
            <w:r/>
          </w:p>
        </w:tc>
        <w:tc>
          <w:tcPr>
            <w:tcW w:w="6402" w:type="dxa"/>
            <w:vAlign w:val="center"/>
            <w:textDirection w:val="lrTb"/>
            <w:noWrap w:val="false"/>
          </w:tcPr>
          <w:p>
            <w:pPr>
              <w:jc w:val="left"/>
              <w:shd w:val="clear" w:color="auto"/>
              <w:rPr>
                <w:rFonts w:ascii="宋体" w:hAnsi="宋体"/>
                <w:color w:val="auto"/>
                <w:highlight w:val="none"/>
              </w:rPr>
            </w:pPr>
            <w:r>
              <w:rPr>
                <w:rFonts w:ascii="宋体" w:hAnsi="宋体"/>
                <w:color w:val="auto"/>
                <w:highlight w:val="none"/>
              </w:rPr>
              <w:t xml:space="preserve">甲方无故逾期验收和办理货款支付手续的，甲方应按逾期付款总额每日</w:t>
            </w:r>
            <w:r>
              <w:rPr>
                <w:rFonts w:hint="eastAsia" w:ascii="宋体" w:hAnsi="宋体"/>
                <w:color w:val="auto"/>
                <w:highlight w:val="none"/>
              </w:rPr>
              <w:t xml:space="preserve">万分之一</w:t>
            </w:r>
            <w:r>
              <w:rPr>
                <w:rFonts w:ascii="宋体" w:hAnsi="宋体"/>
                <w:color w:val="auto"/>
                <w:highlight w:val="none"/>
              </w:rPr>
              <w:t xml:space="preserve">向乙方支付违约金。</w:t>
            </w:r>
            <w:r/>
          </w:p>
        </w:tc>
      </w:tr>
      <w:tr>
        <w:trPr>
          <w:trHeight w:val="566"/>
        </w:trPr>
        <w:tc>
          <w:tcPr>
            <w:tcBorders>
              <w:bottom w:val="single" w:color="auto" w:sz="2" w:space="0"/>
              <w:right w:val="single" w:color="auto" w:sz="2" w:space="0"/>
            </w:tcBorders>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第15.4款</w:t>
            </w:r>
            <w:r/>
          </w:p>
        </w:tc>
        <w:tc>
          <w:tcPr>
            <w:tcBorders>
              <w:left w:val="single" w:color="auto" w:sz="2" w:space="0"/>
              <w:bottom w:val="single" w:color="auto" w:sz="2" w:space="0"/>
              <w:right w:val="single" w:color="auto" w:sz="2" w:space="0"/>
            </w:tcBorders>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其他违约责任</w:t>
            </w:r>
            <w:r/>
          </w:p>
        </w:tc>
        <w:tc>
          <w:tcPr>
            <w:tcBorders>
              <w:left w:val="single" w:color="auto" w:sz="2" w:space="0"/>
              <w:bottom w:val="single" w:color="auto" w:sz="2" w:space="0"/>
            </w:tcBorders>
            <w:tcW w:w="6402" w:type="dxa"/>
            <w:vAlign w:val="center"/>
            <w:textDirection w:val="lrTb"/>
            <w:noWrap w:val="false"/>
          </w:tcPr>
          <w:p>
            <w:pPr>
              <w:jc w:val="left"/>
              <w:shd w:val="clear" w:color="auto"/>
              <w:rPr>
                <w:color w:val="auto"/>
                <w:highlight w:val="none"/>
              </w:rPr>
            </w:pPr>
            <w:r>
              <w:rPr>
                <w:rFonts w:hint="eastAsia"/>
                <w:color w:val="auto"/>
                <w:highlight w:val="none"/>
              </w:rPr>
              <w:t xml:space="preserve">本项目售后</w:t>
            </w:r>
            <w:bookmarkStart w:id="174" w:name="_GoBack"/>
            <w:r/>
            <w:bookmarkEnd w:id="174"/>
            <w:r>
              <w:rPr>
                <w:rFonts w:hint="eastAsia"/>
                <w:color w:val="auto"/>
                <w:highlight w:val="none"/>
                <w:lang w:eastAsia="zh-CN"/>
              </w:rPr>
              <w:t xml:space="preserve">供货期</w:t>
            </w:r>
            <w:r>
              <w:rPr>
                <w:rFonts w:hint="eastAsia"/>
                <w:color w:val="auto"/>
                <w:highlight w:val="none"/>
              </w:rPr>
              <w:t xml:space="preserve">内，乙方不能提供全保的，</w:t>
            </w:r>
            <w:r>
              <w:rPr>
                <w:rFonts w:ascii="宋体" w:hAnsi="宋体"/>
                <w:color w:val="auto"/>
                <w:highlight w:val="none"/>
              </w:rPr>
              <w:t xml:space="preserve">按合同总价款的</w:t>
            </w:r>
            <w:r>
              <w:rPr>
                <w:rFonts w:hint="eastAsia" w:ascii="宋体" w:hAnsi="宋体"/>
                <w:color w:val="auto"/>
                <w:highlight w:val="none"/>
              </w:rPr>
              <w:t xml:space="preserve">20%</w:t>
            </w:r>
            <w:r>
              <w:rPr>
                <w:rFonts w:ascii="宋体" w:hAnsi="宋体"/>
                <w:color w:val="auto"/>
                <w:highlight w:val="none"/>
              </w:rPr>
              <w:t xml:space="preserve">支付违约金</w:t>
            </w:r>
            <w:r>
              <w:rPr>
                <w:rFonts w:hint="eastAsia"/>
                <w:color w:val="auto"/>
                <w:highlight w:val="none"/>
              </w:rPr>
              <w:t xml:space="preserve">。</w:t>
            </w:r>
            <w:r/>
          </w:p>
          <w:p>
            <w:pPr>
              <w:jc w:val="left"/>
              <w:shd w:val="clear" w:color="auto"/>
              <w:rPr>
                <w:color w:val="auto"/>
                <w:highlight w:val="none"/>
              </w:rPr>
            </w:pPr>
            <w:r>
              <w:rPr>
                <w:rFonts w:hint="eastAsia" w:ascii="宋体" w:hAnsi="宋体"/>
                <w:b/>
                <w:bCs/>
                <w:color w:val="auto"/>
                <w:highlight w:val="none"/>
              </w:rPr>
              <w:t xml:space="preserve">备注：签订合同时根据乙方投标文件响应内容调整。</w:t>
            </w:r>
            <w:r/>
          </w:p>
          <w:p>
            <w:pPr>
              <w:jc w:val="left"/>
              <w:shd w:val="clear" w:color="auto"/>
              <w:rPr>
                <w:color w:val="auto"/>
                <w:highlight w:val="none"/>
              </w:rPr>
            </w:pPr>
            <w:r>
              <w:rPr>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第19.2款</w:t>
            </w:r>
            <w:r/>
          </w:p>
        </w:tc>
        <w:tc>
          <w:tcPr>
            <w:tcBorders>
              <w:top w:val="single" w:color="auto" w:sz="2" w:space="0"/>
              <w:left w:val="single" w:color="auto" w:sz="2" w:space="0"/>
              <w:right w:val="single" w:color="auto" w:sz="2" w:space="0"/>
            </w:tcBorders>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解决争议的方法</w:t>
            </w:r>
            <w:r/>
          </w:p>
        </w:tc>
        <w:tc>
          <w:tcPr>
            <w:tcBorders>
              <w:top w:val="single" w:color="auto" w:sz="2" w:space="0"/>
              <w:left w:val="single" w:color="auto" w:sz="2" w:space="0"/>
            </w:tcBorders>
            <w:tcW w:w="6402" w:type="dxa"/>
            <w:vAlign w:val="center"/>
            <w:textDirection w:val="lrTb"/>
            <w:noWrap w:val="false"/>
          </w:tcPr>
          <w:p>
            <w:pPr>
              <w:jc w:val="left"/>
              <w:spacing w:line="400" w:lineRule="exact"/>
              <w:shd w:val="clear" w:color="auto"/>
              <w:rPr>
                <w:rFonts w:hint="eastAsia" w:ascii="宋体" w:hAnsi="宋体" w:cs="宋体"/>
                <w:iCs/>
                <w:color w:val="auto"/>
                <w:highlight w:val="none"/>
              </w:rPr>
            </w:pPr>
            <w:r>
              <w:rPr>
                <w:rFonts w:hint="eastAsia" w:ascii="宋体" w:hAnsi="宋体" w:cs="宋体"/>
                <w:iCs/>
                <w:color w:val="auto"/>
                <w:highlight w:val="none"/>
              </w:rPr>
              <w:t xml:space="preserve">因本合同及合同有关事项发生的争议，按下列第</w:t>
            </w:r>
            <w:r>
              <w:rPr>
                <w:rFonts w:hint="eastAsia" w:ascii="宋体" w:hAnsi="宋体" w:cs="宋体"/>
                <w:iCs/>
                <w:color w:val="auto"/>
                <w:highlight w:val="none"/>
                <w:u w:val="single"/>
              </w:rPr>
              <w:t xml:space="preserve">（2）</w:t>
            </w:r>
            <w:r>
              <w:rPr>
                <w:rFonts w:hint="eastAsia" w:ascii="宋体" w:hAnsi="宋体" w:cs="宋体"/>
                <w:iCs/>
                <w:color w:val="auto"/>
                <w:highlight w:val="none"/>
              </w:rPr>
              <w:t xml:space="preserve">种方式解决：</w:t>
            </w:r>
            <w:r/>
          </w:p>
          <w:p>
            <w:pPr>
              <w:jc w:val="left"/>
              <w:spacing w:line="400" w:lineRule="exact"/>
              <w:shd w:val="clear" w:color="auto"/>
              <w:rPr>
                <w:rFonts w:ascii="宋体" w:hAnsi="宋体" w:cs="宋体"/>
                <w:iCs/>
                <w:color w:val="auto"/>
                <w:highlight w:val="none"/>
              </w:rPr>
            </w:pPr>
            <w:r>
              <w:rPr>
                <w:rFonts w:hint="eastAsia" w:ascii="宋体" w:hAnsi="宋体" w:cs="宋体"/>
                <w:iCs/>
                <w:color w:val="auto"/>
                <w:highlight w:val="none"/>
              </w:rPr>
              <w:t xml:space="preserve">（1）向</w:t>
            </w:r>
            <w:r>
              <w:rPr>
                <w:rFonts w:hint="eastAsia" w:ascii="宋体" w:hAnsi="宋体" w:cs="宋体"/>
                <w:iCs/>
                <w:color w:val="auto"/>
                <w:highlight w:val="none"/>
                <w:u w:val="single"/>
              </w:rPr>
              <w:t xml:space="preserve"> / </w:t>
            </w:r>
            <w:r>
              <w:rPr>
                <w:rFonts w:hint="eastAsia" w:ascii="宋体" w:hAnsi="宋体" w:cs="宋体"/>
                <w:iCs/>
                <w:color w:val="auto"/>
                <w:highlight w:val="none"/>
              </w:rPr>
              <w:t xml:space="preserve">仲裁委员会申请仲裁，仲裁地点为</w:t>
            </w:r>
            <w:r>
              <w:rPr>
                <w:rFonts w:hint="eastAsia" w:ascii="宋体" w:hAnsi="宋体" w:cs="宋体"/>
                <w:iCs/>
                <w:color w:val="auto"/>
                <w:highlight w:val="none"/>
                <w:u w:val="single"/>
              </w:rPr>
              <w:t xml:space="preserve"> / </w:t>
            </w:r>
            <w:r>
              <w:rPr>
                <w:rFonts w:hint="eastAsia" w:ascii="宋体" w:hAnsi="宋体" w:cs="宋体"/>
                <w:iCs/>
                <w:color w:val="auto"/>
                <w:highlight w:val="none"/>
              </w:rPr>
              <w:t xml:space="preserve">；</w:t>
            </w:r>
            <w:r/>
          </w:p>
          <w:p>
            <w:pPr>
              <w:jc w:val="left"/>
              <w:shd w:val="clear" w:color="auto"/>
              <w:rPr>
                <w:rFonts w:ascii="宋体" w:hAnsi="宋体"/>
                <w:color w:val="auto"/>
                <w:highlight w:val="none"/>
                <w:u w:val="single"/>
              </w:rPr>
            </w:pPr>
            <w:r>
              <w:rPr>
                <w:rFonts w:hint="eastAsia" w:ascii="宋体" w:hAnsi="宋体" w:cs="宋体"/>
                <w:iCs/>
                <w:color w:val="auto"/>
                <w:highlight w:val="none"/>
              </w:rPr>
              <w:t xml:space="preserve">（2）向</w:t>
            </w:r>
            <w:r>
              <w:rPr>
                <w:rFonts w:hint="eastAsia" w:ascii="宋体" w:hAnsi="宋体" w:cs="宋体"/>
                <w:iCs/>
                <w:color w:val="auto"/>
                <w:highlight w:val="none"/>
                <w:u w:val="single"/>
              </w:rPr>
              <w:t xml:space="preserve"> 泗洪县 </w:t>
            </w:r>
            <w:r>
              <w:rPr>
                <w:rFonts w:hint="eastAsia" w:ascii="宋体" w:hAnsi="宋体" w:cs="宋体"/>
                <w:iCs/>
                <w:color w:val="auto"/>
                <w:highlight w:val="none"/>
              </w:rPr>
              <w:t xml:space="preserve">人民法院起诉。</w:t>
            </w:r>
            <w:r/>
          </w:p>
        </w:tc>
      </w:tr>
      <w:tr>
        <w:trPr>
          <w:trHeight w:val="1572"/>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第23.1款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bCs/>
                <w:color w:val="auto"/>
                <w:highlight w:val="none"/>
              </w:rPr>
              <w:t xml:space="preserve">其他专用条款</w:t>
            </w:r>
            <w:r/>
          </w:p>
        </w:tc>
        <w:tc>
          <w:tcPr>
            <w:tcW w:w="6402" w:type="dxa"/>
            <w:vAlign w:val="center"/>
            <w:textDirection w:val="lrTb"/>
            <w:noWrap w:val="false"/>
          </w:tcPr>
          <w:p>
            <w:pPr>
              <w:jc w:val="left"/>
              <w:shd w:val="clear" w:color="auto"/>
              <w:rPr>
                <w:color w:val="auto"/>
                <w:highlight w:val="none"/>
              </w:rPr>
            </w:pPr>
            <w:r>
              <w:rPr>
                <w:rFonts w:hint="eastAsia" w:ascii="宋体" w:hAnsi="宋体"/>
                <w:color w:val="auto"/>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bookmarkEnd w:id="132"/>
            <w:r/>
            <w:bookmarkEnd w:id="133"/>
            <w:r/>
            <w:bookmarkEnd w:id="134"/>
            <w:r/>
            <w:r/>
          </w:p>
        </w:tc>
      </w:tr>
    </w:tbl>
    <w:p>
      <w:pPr>
        <w:jc w:val="center"/>
        <w:rPr>
          <w:rFonts w:ascii="宋体" w:hAnsi="宋体"/>
          <w:color w:val="000000"/>
          <w:sz w:val="32"/>
          <w:szCs w:val="32"/>
          <w:highlight w:val="none"/>
        </w:rPr>
      </w:pPr>
      <w:r>
        <w:rPr>
          <w:rFonts w:ascii="宋体" w:hAnsi="宋体"/>
          <w:color w:val="000000"/>
          <w:sz w:val="32"/>
          <w:szCs w:val="32"/>
          <w:highlight w:val="none"/>
        </w:rPr>
      </w:r>
      <w:r/>
    </w:p>
    <w:p>
      <w:pPr>
        <w:pStyle w:val="1248"/>
        <w:ind w:left="0" w:firstLine="0"/>
        <w:rPr>
          <w:sz w:val="24"/>
          <w:szCs w:val="24"/>
          <w:highlight w:val="none"/>
        </w:rPr>
      </w:pPr>
      <w:r>
        <w:rPr>
          <w:sz w:val="24"/>
          <w:szCs w:val="24"/>
          <w:highlight w:val="none"/>
        </w:rPr>
      </w:r>
      <w:r/>
    </w:p>
    <w:p>
      <w:pPr>
        <w:pStyle w:val="1248"/>
        <w:ind w:left="0" w:firstLine="0"/>
        <w:rPr>
          <w:sz w:val="24"/>
          <w:szCs w:val="24"/>
          <w:highlight w:val="none"/>
        </w:rPr>
      </w:pPr>
      <w:r>
        <w:rPr>
          <w:sz w:val="24"/>
          <w:szCs w:val="24"/>
          <w:highlight w:val="none"/>
        </w:rPr>
      </w:r>
      <w:r/>
    </w:p>
    <w:p>
      <w:pPr>
        <w:pStyle w:val="1248"/>
        <w:ind w:left="0" w:firstLine="0"/>
        <w:rPr>
          <w:sz w:val="24"/>
          <w:szCs w:val="24"/>
          <w:highlight w:val="none"/>
        </w:rPr>
      </w:pPr>
      <w:r>
        <w:rPr>
          <w:sz w:val="24"/>
          <w:szCs w:val="24"/>
          <w:highlight w:val="none"/>
        </w:rPr>
      </w:r>
      <w:r/>
    </w:p>
    <w:p>
      <w:pPr>
        <w:pStyle w:val="1248"/>
        <w:ind w:left="0" w:firstLine="0"/>
        <w:rPr>
          <w:sz w:val="24"/>
          <w:szCs w:val="24"/>
          <w:highlight w:val="none"/>
        </w:rPr>
      </w:pPr>
      <w:r>
        <w:rPr>
          <w:sz w:val="24"/>
          <w:szCs w:val="24"/>
          <w:highlight w:val="none"/>
        </w:rPr>
      </w:r>
      <w:r/>
    </w:p>
    <w:p>
      <w:pPr>
        <w:pStyle w:val="1248"/>
        <w:ind w:left="0" w:firstLine="0"/>
        <w:rPr>
          <w:sz w:val="24"/>
          <w:szCs w:val="24"/>
          <w:highlight w:val="none"/>
        </w:rPr>
      </w:pPr>
      <w:r>
        <w:rPr>
          <w:sz w:val="24"/>
          <w:szCs w:val="24"/>
          <w:highlight w:val="none"/>
        </w:rPr>
      </w:r>
      <w:r/>
    </w:p>
    <w:p>
      <w:pPr>
        <w:pStyle w:val="1248"/>
        <w:ind w:left="0" w:firstLine="0"/>
        <w:rPr>
          <w:sz w:val="24"/>
          <w:szCs w:val="24"/>
          <w:highlight w:val="none"/>
        </w:rPr>
      </w:pPr>
      <w:r>
        <w:rPr>
          <w:sz w:val="24"/>
          <w:szCs w:val="24"/>
          <w:highlight w:val="none"/>
        </w:rPr>
      </w:r>
      <w:r/>
    </w:p>
    <w:p>
      <w:pPr>
        <w:pStyle w:val="1248"/>
        <w:ind w:left="0" w:firstLine="0"/>
        <w:rPr>
          <w:sz w:val="24"/>
          <w:szCs w:val="24"/>
          <w:highlight w:val="none"/>
        </w:rPr>
      </w:pPr>
      <w:r>
        <w:rPr>
          <w:sz w:val="24"/>
          <w:szCs w:val="24"/>
          <w:highlight w:val="none"/>
        </w:rPr>
      </w:r>
      <w:r/>
    </w:p>
    <w:p>
      <w:pPr>
        <w:pStyle w:val="1248"/>
        <w:ind w:left="0" w:firstLine="0"/>
        <w:rPr>
          <w:sz w:val="24"/>
          <w:szCs w:val="24"/>
          <w:highlight w:val="none"/>
        </w:rPr>
      </w:pPr>
      <w:r>
        <w:rPr>
          <w:sz w:val="24"/>
          <w:szCs w:val="24"/>
          <w:highlight w:val="none"/>
        </w:rPr>
      </w:r>
      <w:r/>
    </w:p>
    <w:p>
      <w:pPr>
        <w:jc w:val="center"/>
        <w:keepLines/>
        <w:keepNext/>
        <w:pageBreakBefore/>
        <w:rPr>
          <w:b/>
          <w:color w:val="000000"/>
          <w:sz w:val="44"/>
          <w:szCs w:val="44"/>
          <w:highlight w:val="none"/>
        </w:rPr>
        <w:outlineLvl w:val="0"/>
      </w:pPr>
      <w:r/>
      <w:bookmarkStart w:id="138" w:name="_Toc19649"/>
      <w:r/>
      <w:bookmarkStart w:id="139" w:name="_Toc81575207"/>
      <w:r/>
      <w:bookmarkStart w:id="140" w:name="_Toc81575170"/>
      <w:r/>
      <w:bookmarkStart w:id="141" w:name="_Toc12937"/>
      <w:r/>
      <w:bookmarkStart w:id="142" w:name="_Toc9003"/>
      <w:r/>
      <w:bookmarkStart w:id="143" w:name="_Toc22853"/>
      <w:r>
        <w:rPr>
          <w:rFonts w:hint="eastAsia"/>
          <w:b/>
          <w:color w:val="000000"/>
          <w:sz w:val="44"/>
          <w:szCs w:val="44"/>
          <w:highlight w:val="none"/>
        </w:rPr>
        <w:t xml:space="preserve">第六章  投标文件格式</w:t>
      </w:r>
      <w:bookmarkEnd w:id="138"/>
      <w:r/>
      <w:bookmarkEnd w:id="139"/>
      <w:r/>
      <w:bookmarkEnd w:id="140"/>
      <w:r/>
      <w:bookmarkEnd w:id="141"/>
      <w:r/>
      <w:bookmarkEnd w:id="142"/>
      <w:r/>
      <w:bookmarkEnd w:id="143"/>
      <w:r/>
      <w:r/>
    </w:p>
    <w:p>
      <w:pPr>
        <w:rPr>
          <w:color w:val="000000"/>
          <w:highlight w:val="none"/>
        </w:rPr>
      </w:pPr>
      <w:r/>
      <w:bookmarkStart w:id="144" w:name="EB819316f773b24a75aef829f9b72900c0"/>
      <w:r/>
      <w:r/>
    </w:p>
    <w:p>
      <w:pPr>
        <w:rPr>
          <w:rFonts w:ascii="Times New Roman" w:hAnsi="Times New Roman"/>
          <w:b/>
          <w:color w:val="000000"/>
          <w:sz w:val="72"/>
          <w:highlight w:val="none"/>
        </w:rPr>
      </w:pPr>
      <w:r/>
      <w:bookmarkStart w:id="145"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45"/>
      <w:r/>
      <w:r/>
    </w:p>
    <w:p>
      <w:pPr>
        <w:pStyle w:val="1156"/>
        <w:rPr>
          <w:rFonts w:ascii="宋体" w:hAnsi="宋体" w:eastAsia="宋体" w:cs="宋体"/>
          <w:color w:val="000000"/>
          <w:highlight w:val="none"/>
        </w:rPr>
      </w:pPr>
      <w:r>
        <w:rPr>
          <w:rFonts w:ascii="宋体" w:hAnsi="宋体" w:eastAsia="宋体" w:cs="宋体"/>
          <w:color w:val="000000"/>
          <w:highlight w:val="none"/>
        </w:rPr>
      </w:r>
      <w:r/>
    </w:p>
    <w:p>
      <w:pPr>
        <w:pStyle w:val="1156"/>
        <w:rPr>
          <w:rFonts w:ascii="宋体" w:hAnsi="宋体" w:eastAsia="宋体" w:cs="宋体"/>
          <w:color w:val="000000"/>
          <w:highlight w:val="none"/>
        </w:rPr>
      </w:pPr>
      <w:r>
        <w:rPr>
          <w:rFonts w:ascii="宋体" w:hAnsi="宋体" w:eastAsia="宋体" w:cs="宋体"/>
          <w:color w:val="000000"/>
          <w:highlight w:val="none"/>
        </w:rPr>
      </w:r>
      <w:r/>
    </w:p>
    <w:p>
      <w:pPr>
        <w:pStyle w:val="1156"/>
        <w:rPr>
          <w:rFonts w:ascii="宋体" w:hAnsi="宋体" w:eastAsia="宋体" w:cs="宋体"/>
          <w:color w:val="000000"/>
          <w:highlight w:val="none"/>
        </w:rPr>
      </w:pPr>
      <w:r>
        <w:rPr>
          <w:rFonts w:ascii="宋体" w:hAnsi="宋体" w:eastAsia="宋体" w:cs="宋体"/>
          <w:color w:val="000000"/>
          <w:highlight w:val="none"/>
        </w:rPr>
      </w:r>
      <w:r/>
    </w:p>
    <w:p>
      <w:pPr>
        <w:pStyle w:val="1156"/>
        <w:rPr>
          <w:rFonts w:ascii="宋体" w:hAnsi="宋体" w:eastAsia="宋体" w:cs="宋体"/>
          <w:color w:val="000000"/>
          <w:highlight w:val="none"/>
        </w:rPr>
      </w:pPr>
      <w:r>
        <w:rPr>
          <w:rFonts w:ascii="宋体" w:hAnsi="宋体" w:eastAsia="宋体" w:cs="宋体"/>
          <w:color w:val="000000"/>
          <w:highlight w:val="none"/>
        </w:rPr>
      </w:r>
      <w:bookmarkEnd w:id="144"/>
      <w:r/>
      <w:r/>
    </w:p>
    <w:p>
      <w:pPr>
        <w:pStyle w:val="1156"/>
        <w:rPr>
          <w:rFonts w:ascii="宋体" w:hAnsi="宋体" w:eastAsia="宋体" w:cs="宋体"/>
          <w:color w:val="000000"/>
          <w:highlight w:val="none"/>
        </w:rPr>
      </w:pPr>
      <w:r>
        <w:rPr>
          <w:rFonts w:ascii="宋体" w:hAnsi="宋体" w:eastAsia="宋体" w:cs="宋体"/>
          <w:color w:val="000000"/>
          <w:highlight w:val="none"/>
        </w:rPr>
      </w:r>
      <w:r/>
    </w:p>
    <w:p>
      <w:pPr>
        <w:pStyle w:val="1156"/>
        <w:rPr>
          <w:rFonts w:ascii="宋体" w:hAnsi="宋体" w:eastAsia="宋体" w:cs="宋体"/>
          <w:color w:val="000000"/>
          <w:highlight w:val="none"/>
        </w:rPr>
      </w:pPr>
      <w:r>
        <w:rPr>
          <w:rFonts w:ascii="宋体" w:hAnsi="宋体" w:eastAsia="宋体" w:cs="宋体"/>
          <w:color w:val="000000"/>
          <w:highlight w:val="none"/>
        </w:rPr>
      </w:r>
      <w:r/>
    </w:p>
    <w:p>
      <w:pPr>
        <w:pStyle w:val="1156"/>
        <w:rPr>
          <w:rFonts w:ascii="宋体" w:hAnsi="宋体" w:eastAsia="宋体" w:cs="宋体"/>
          <w:color w:val="000000"/>
          <w:highlight w:val="none"/>
        </w:rPr>
      </w:pPr>
      <w:r>
        <w:rPr>
          <w:rFonts w:ascii="宋体" w:hAnsi="宋体" w:eastAsia="宋体" w:cs="宋体"/>
          <w:color w:val="000000"/>
          <w:highlight w:val="none"/>
        </w:rPr>
      </w:r>
      <w:r/>
    </w:p>
    <w:p>
      <w:pPr>
        <w:pStyle w:val="1156"/>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56"/>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56"/>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numPr>
          <w:ilvl w:val="0"/>
          <w:numId w:val="0"/>
        </w:num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一、</w:t>
      </w:r>
      <w:r>
        <w:rPr>
          <w:rFonts w:hint="eastAsia" w:ascii="Times New Roman" w:hAnsi="Times New Roman"/>
          <w:color w:val="000000"/>
          <w:sz w:val="28"/>
          <w:szCs w:val="28"/>
          <w:highlight w:val="none"/>
        </w:rPr>
        <w:t xml:space="preserve">投标函</w:t>
      </w:r>
      <w:r/>
    </w:p>
    <w:p>
      <w:pPr>
        <w:numPr>
          <w:ilvl w:val="0"/>
          <w:numId w:val="0"/>
        </w:numPr>
        <w:spacing w:line="360" w:lineRule="auto"/>
        <w:rPr>
          <w:rFonts w:hint="eastAsia"/>
          <w:highlight w:val="none"/>
        </w:rPr>
      </w:pPr>
      <w:r>
        <w:rPr>
          <w:rFonts w:hint="eastAsia" w:ascii="Times New Roman" w:hAnsi="Times New Roman"/>
          <w:color w:val="000000"/>
          <w:sz w:val="28"/>
          <w:szCs w:val="28"/>
          <w:highlight w:val="none"/>
          <w:lang w:val="en-US" w:eastAsia="zh-CN"/>
        </w:rPr>
        <w:t xml:space="preserve">二、投标人资质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五</w:t>
      </w:r>
      <w:r>
        <w:rPr>
          <w:rFonts w:hint="eastAsia" w:ascii="Times New Roman" w:hAnsi="Times New Roman"/>
          <w:color w:val="000000"/>
          <w:sz w:val="28"/>
          <w:szCs w:val="28"/>
          <w:highlight w:val="none"/>
        </w:rPr>
        <w:t xml:space="preserve">、分项报价表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六</w:t>
      </w:r>
      <w:r>
        <w:rPr>
          <w:rFonts w:hint="eastAsia" w:ascii="Times New Roman" w:hAnsi="Times New Roman"/>
          <w:color w:val="000000"/>
          <w:sz w:val="28"/>
          <w:szCs w:val="28"/>
          <w:highlight w:val="none"/>
        </w:rPr>
        <w:t xml:space="preserve">、中小企业或残疾人福利性单位声明函</w:t>
      </w:r>
      <w:r/>
    </w:p>
    <w:p>
      <w:pPr>
        <w:spacing w:line="360" w:lineRule="auto"/>
        <w:rPr>
          <w:rFonts w:hint="default" w:ascii="Times New Roman" w:hAnsi="Times New Roman" w:eastAsia="宋体"/>
          <w:color w:val="000000"/>
          <w:sz w:val="28"/>
          <w:szCs w:val="28"/>
          <w:highlight w:val="none"/>
          <w:lang w:val="en-US" w:eastAsia="zh-CN"/>
        </w:rPr>
      </w:pPr>
      <w:r>
        <w:rPr>
          <w:rFonts w:hint="eastAsia" w:ascii="Times New Roman" w:hAnsi="Times New Roman"/>
          <w:color w:val="000000"/>
          <w:sz w:val="28"/>
          <w:szCs w:val="28"/>
          <w:highlight w:val="none"/>
          <w:lang w:val="en-US" w:eastAsia="zh-CN"/>
        </w:rPr>
        <w:t xml:space="preserve">七、技术响应偏离表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八、</w:t>
      </w:r>
      <w:r>
        <w:rPr>
          <w:rFonts w:hint="eastAsia" w:ascii="Times New Roman" w:hAnsi="Times New Roman"/>
          <w:color w:val="000000"/>
          <w:sz w:val="28"/>
          <w:szCs w:val="28"/>
          <w:highlight w:val="none"/>
        </w:rPr>
        <w:t xml:space="preserve">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九</w:t>
      </w:r>
      <w:r>
        <w:rPr>
          <w:rFonts w:hint="eastAsia" w:ascii="Times New Roman" w:hAnsi="Times New Roman"/>
          <w:color w:val="000000"/>
          <w:sz w:val="28"/>
          <w:szCs w:val="28"/>
          <w:highlight w:val="none"/>
        </w:rPr>
        <w:t xml:space="preserve">、企业业绩</w:t>
      </w:r>
      <w:r/>
    </w:p>
    <w:p>
      <w:pPr>
        <w:spacing w:line="360" w:lineRule="auto"/>
        <w:rPr>
          <w:color w:val="000000"/>
          <w:highlight w:val="none"/>
        </w:rPr>
      </w:pPr>
      <w:r>
        <w:rPr>
          <w:rFonts w:hint="eastAsia" w:ascii="Times New Roman" w:hAnsi="Times New Roman"/>
          <w:color w:val="000000"/>
          <w:sz w:val="28"/>
          <w:szCs w:val="28"/>
          <w:highlight w:val="none"/>
          <w:lang w:val="en-US" w:eastAsia="zh-CN"/>
        </w:rPr>
        <w:t xml:space="preserve">十</w:t>
      </w:r>
      <w:r>
        <w:rPr>
          <w:rFonts w:hint="eastAsia" w:ascii="Times New Roman" w:hAnsi="Times New Roman"/>
          <w:color w:val="000000"/>
          <w:sz w:val="28"/>
          <w:szCs w:val="28"/>
          <w:highlight w:val="none"/>
        </w:rPr>
        <w:t xml:space="preserve">、投标所需其他材料</w:t>
      </w:r>
      <w:bookmarkStart w:id="146" w:name="_Toc26005"/>
      <w:r/>
      <w:bookmarkStart w:id="147"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66"/>
        <w:rPr>
          <w:rFonts w:hint="eastAsia" w:ascii="宋体" w:hAnsi="宋体" w:eastAsia="宋体" w:cs="宋体"/>
          <w:b w:val="0"/>
          <w:bCs/>
          <w:color w:val="000000"/>
          <w:highlight w:val="none"/>
        </w:rPr>
        <w:outlineLvl w:val="1"/>
      </w:pPr>
      <w:r/>
      <w:bookmarkStart w:id="148" w:name="_Toc8978"/>
      <w:r>
        <w:rPr>
          <w:rFonts w:hint="eastAsia" w:ascii="宋体" w:hAnsi="宋体" w:eastAsia="宋体" w:cs="宋体"/>
          <w:b w:val="0"/>
          <w:bCs/>
          <w:color w:val="000000"/>
          <w:highlight w:val="none"/>
        </w:rPr>
        <w:t xml:space="preserve">一、投标函</w:t>
      </w:r>
      <w:bookmarkEnd w:id="146"/>
      <w:r/>
      <w:bookmarkEnd w:id="147"/>
      <w:r/>
      <w:bookmarkEnd w:id="148"/>
      <w:r/>
      <w:r/>
    </w:p>
    <w:p>
      <w:pPr>
        <w:pStyle w:val="116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16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投标函</w:t>
      </w:r>
      <w:r/>
    </w:p>
    <w:p>
      <w:pPr>
        <w:pStyle w:val="1167"/>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6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67"/>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6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6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6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6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6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67"/>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67"/>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6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67"/>
        <w:ind w:firstLine="480"/>
        <w:rPr>
          <w:rFonts w:ascii="宋体" w:hAnsi="宋体"/>
          <w:color w:val="000000"/>
          <w:sz w:val="24"/>
          <w:szCs w:val="24"/>
          <w:highlight w:val="none"/>
        </w:rPr>
      </w:pPr>
      <w:r>
        <w:rPr>
          <w:rFonts w:ascii="宋体" w:hAnsi="宋体"/>
          <w:color w:val="000000"/>
          <w:sz w:val="24"/>
          <w:szCs w:val="24"/>
          <w:highlight w:val="none"/>
        </w:rPr>
      </w:r>
      <w:r/>
    </w:p>
    <w:p>
      <w:pPr>
        <w:pStyle w:val="1167"/>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66"/>
        <w:rPr>
          <w:rFonts w:hint="eastAsia" w:ascii="宋体" w:hAnsi="宋体" w:eastAsia="宋体" w:cs="宋体"/>
          <w:b w:val="0"/>
          <w:bCs/>
          <w:color w:val="000000"/>
          <w:sz w:val="32"/>
          <w:szCs w:val="32"/>
          <w:highlight w:val="none"/>
        </w:rPr>
        <w:outlineLvl w:val="1"/>
      </w:pPr>
      <w:r/>
      <w:bookmarkStart w:id="149" w:name="_Toc15099"/>
      <w:r>
        <w:rPr>
          <w:rFonts w:hint="eastAsia" w:ascii="宋体" w:hAnsi="宋体" w:eastAsia="宋体" w:cs="宋体"/>
          <w:b w:val="0"/>
          <w:bCs/>
          <w:color w:val="000000"/>
          <w:sz w:val="32"/>
          <w:szCs w:val="32"/>
          <w:highlight w:val="none"/>
        </w:rPr>
        <w:t xml:space="preserve">二、投标人资质</w:t>
      </w:r>
      <w:bookmarkEnd w:id="149"/>
      <w:r/>
      <w:r/>
    </w:p>
    <w:p>
      <w:pPr>
        <w:rPr>
          <w:rFonts w:hint="eastAsia"/>
          <w:color w:val="000000"/>
          <w:sz w:val="24"/>
          <w:szCs w:val="24"/>
          <w:highlight w:val="none"/>
        </w:rPr>
      </w:pPr>
      <w:r>
        <w:rPr>
          <w:rFonts w:hint="eastAsia"/>
          <w:color w:val="000000"/>
          <w:sz w:val="24"/>
          <w:szCs w:val="24"/>
          <w:highlight w:val="none"/>
        </w:rPr>
        <w:t xml:space="preserve">按招标文件要求提供相应资质证书</w:t>
      </w:r>
      <w:r/>
    </w:p>
    <w:p>
      <w:pPr>
        <w:rPr>
          <w:rFonts w:hint="eastAsia" w:ascii="宋体" w:hAnsi="宋体" w:eastAsia="宋体" w:cs="宋体"/>
          <w:color w:val="000000"/>
          <w:sz w:val="32"/>
          <w:szCs w:val="32"/>
          <w:highlight w:val="none"/>
        </w:rPr>
        <w:outlineLvl w:val="1"/>
      </w:pPr>
      <w:r>
        <w:rPr>
          <w:rFonts w:hint="eastAsia"/>
          <w:color w:val="000000"/>
          <w:highlight w:val="none"/>
        </w:rPr>
        <w:br w:type="page" w:clear="all"/>
      </w:r>
      <w:bookmarkStart w:id="150" w:name="_Toc3680"/>
      <w:r/>
      <w:bookmarkStart w:id="151" w:name="_Toc29506"/>
      <w:r/>
      <w:bookmarkStart w:id="152" w:name="_Toc27409"/>
      <w:r>
        <w:rPr>
          <w:rFonts w:hint="eastAsia" w:ascii="宋体" w:hAnsi="宋体" w:eastAsia="宋体" w:cs="宋体"/>
          <w:bCs/>
          <w:color w:val="000000"/>
          <w:sz w:val="32"/>
          <w:szCs w:val="32"/>
          <w:highlight w:val="none"/>
        </w:rPr>
        <w:t xml:space="preserve">三、</w:t>
      </w:r>
      <w:bookmarkEnd w:id="150"/>
      <w:r/>
      <w:bookmarkEnd w:id="151"/>
      <w:r>
        <w:rPr>
          <w:rFonts w:hint="eastAsia" w:ascii="宋体" w:hAnsi="宋体" w:eastAsia="宋体" w:cs="宋体"/>
          <w:bCs/>
          <w:color w:val="000000"/>
          <w:sz w:val="32"/>
          <w:szCs w:val="32"/>
          <w:highlight w:val="none"/>
        </w:rPr>
        <w:t xml:space="preserve">法人授权书</w:t>
      </w:r>
      <w:bookmarkEnd w:id="152"/>
      <w:r/>
      <w:r/>
    </w:p>
    <w:p>
      <w:pPr>
        <w:pStyle w:val="1167"/>
        <w:jc w:val="center"/>
        <w:rPr>
          <w:rFonts w:hint="eastAsia" w:ascii="宋体" w:hAnsi="宋体" w:eastAsia="宋体" w:cs="宋体"/>
          <w:bCs/>
          <w:color w:val="000000"/>
          <w:sz w:val="32"/>
          <w:szCs w:val="32"/>
          <w:highlight w:val="none"/>
        </w:rPr>
      </w:pPr>
      <w:r/>
      <w:bookmarkStart w:id="153" w:name="OLE_LINK6"/>
      <w:r>
        <w:rPr>
          <w:rFonts w:hint="eastAsia" w:ascii="宋体" w:hAnsi="宋体" w:eastAsia="宋体" w:cs="宋体"/>
          <w:bCs/>
          <w:color w:val="000000"/>
          <w:sz w:val="32"/>
          <w:szCs w:val="32"/>
          <w:highlight w:val="none"/>
        </w:rPr>
        <w:t xml:space="preserve">法人授权书</w:t>
      </w:r>
      <w:bookmarkEnd w:id="153"/>
      <w:r/>
      <w:r/>
    </w:p>
    <w:p>
      <w:pPr>
        <w:pStyle w:val="1284"/>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84"/>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84"/>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84"/>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84"/>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84"/>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84"/>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54" w:name="_格式3__银行出具的资信证明"/>
      <w:r/>
      <w:bookmarkEnd w:id="154"/>
      <w:r/>
      <w:bookmarkStart w:id="155" w:name="_Hlt26955070"/>
      <w:r/>
      <w:bookmarkEnd w:id="155"/>
      <w:r/>
      <w:bookmarkStart w:id="156" w:name="_Hlt26671380"/>
      <w:r/>
      <w:bookmarkEnd w:id="156"/>
      <w:r>
        <w:rPr>
          <w:rFonts w:hint="eastAsia"/>
          <w:color w:val="000000"/>
          <w:sz w:val="24"/>
          <w:szCs w:val="24"/>
          <w:highlight w:val="none"/>
          <w:u w:val="single"/>
        </w:rPr>
        <w:t xml:space="preserve">                                         </w:t>
      </w:r>
      <w:r/>
    </w:p>
    <w:p>
      <w:pPr>
        <w:pStyle w:val="1169"/>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72"/>
        <w:rPr>
          <w:rFonts w:hint="eastAsia" w:ascii="宋体" w:hAnsi="宋体" w:eastAsia="宋体" w:cs="宋体"/>
          <w:color w:val="000000"/>
          <w:highlight w:val="none"/>
        </w:rPr>
        <w:outlineLvl w:val="1"/>
      </w:pPr>
      <w:r>
        <w:rPr>
          <w:color w:val="000000"/>
          <w:highlight w:val="none"/>
        </w:rPr>
        <w:br w:type="page" w:clear="all"/>
      </w:r>
      <w:bookmarkStart w:id="157" w:name="_Toc27199"/>
      <w:r/>
      <w:bookmarkStart w:id="158" w:name="_Toc13550"/>
      <w:r/>
      <w:bookmarkStart w:id="159" w:name="_Toc30543"/>
      <w:r>
        <w:rPr>
          <w:rFonts w:hint="eastAsia"/>
          <w:b w:val="0"/>
          <w:bCs/>
          <w:color w:val="000000"/>
          <w:highlight w:val="none"/>
        </w:rPr>
        <w:t xml:space="preserve">四</w:t>
      </w:r>
      <w:r>
        <w:rPr>
          <w:b w:val="0"/>
          <w:bCs/>
          <w:color w:val="000000"/>
          <w:highlight w:val="none"/>
        </w:rPr>
        <w:t xml:space="preserve">、</w:t>
      </w:r>
      <w:r>
        <w:rPr>
          <w:rFonts w:hint="eastAsia" w:ascii="宋体" w:hAnsi="宋体" w:eastAsia="宋体" w:cs="宋体"/>
          <w:b w:val="0"/>
          <w:bCs/>
          <w:color w:val="000000"/>
          <w:highlight w:val="none"/>
        </w:rPr>
        <w:t xml:space="preserve">开标一览表</w:t>
      </w:r>
      <w:bookmarkEnd w:id="157"/>
      <w:r/>
      <w:bookmarkEnd w:id="158"/>
      <w:r/>
      <w:bookmarkEnd w:id="159"/>
      <w:r/>
      <w:r/>
    </w:p>
    <w:p>
      <w:pPr>
        <w:pStyle w:val="117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7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投标人全称(CA公章) ：</w:t>
      </w:r>
      <w:r>
        <w:rPr>
          <w:rFonts w:hint="eastAsia" w:ascii="宋体" w:hAnsi="宋体" w:eastAsia="宋体" w:cs="宋体"/>
          <w:color w:val="000000"/>
          <w:sz w:val="28"/>
          <w:szCs w:val="28"/>
          <w:highlight w:val="none"/>
          <w:lang w:eastAsia="zh-CN"/>
        </w:rPr>
        <w:t xml:space="preserve">投标人</w:t>
      </w:r>
      <w:r>
        <w:rPr>
          <w:rFonts w:hint="eastAsia" w:ascii="宋体" w:hAnsi="宋体" w:eastAsia="宋体" w:cs="宋体"/>
          <w:color w:val="000000"/>
          <w:sz w:val="28"/>
          <w:szCs w:val="28"/>
          <w:highlight w:val="none"/>
        </w:rPr>
        <w:t xml:space="preserve">名称</w:t>
      </w:r>
      <w:r/>
    </w:p>
    <w:p>
      <w:pPr>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采购项目名称：</w:t>
      </w:r>
      <w:r/>
    </w:p>
    <w:p>
      <w:pPr>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采购项目编号： </w:t>
      </w:r>
      <w:r/>
    </w:p>
    <w:p>
      <w:pPr>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采购包</w:t>
      </w:r>
      <w:r>
        <w:rPr>
          <w:rFonts w:hint="eastAsia" w:ascii="宋体" w:hAnsi="宋体" w:eastAsia="宋体" w:cs="宋体"/>
          <w:color w:val="000000"/>
          <w:sz w:val="28"/>
          <w:szCs w:val="28"/>
          <w:highlight w:val="none"/>
          <w:lang w:eastAsia="zh-CN"/>
        </w:rPr>
        <w:t xml:space="preserve">号</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                              </w:t>
      </w:r>
      <w:r>
        <w:rPr>
          <w:rStyle w:val="1236"/>
          <w:rFonts w:hint="eastAsia" w:ascii="宋体" w:hAnsi="宋体" w:eastAsia="宋体" w:cs="宋体"/>
          <w:sz w:val="28"/>
          <w:szCs w:val="28"/>
          <w:highlight w:val="none"/>
        </w:rPr>
        <w:t xml:space="preserve">分包号</w:t>
      </w:r>
      <w:r>
        <w:rPr>
          <w:rFonts w:hint="eastAsia" w:ascii="宋体" w:hAnsi="宋体" w:eastAsia="宋体" w:cs="宋体"/>
          <w:sz w:val="28"/>
          <w:szCs w:val="28"/>
          <w:highlight w:val="none"/>
        </w:rPr>
        <w:t xml:space="preserve"> </w:t>
      </w:r>
      <w:r/>
    </w:p>
    <w:tbl>
      <w:tblPr>
        <w:tblStyle w:val="9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auto"/>
                <w:sz w:val="28"/>
                <w:szCs w:val="28"/>
                <w:highlight w:val="none"/>
              </w:rPr>
              <w:t xml:space="preserve">投标</w:t>
            </w:r>
            <w:r>
              <w:rPr>
                <w:rFonts w:hint="eastAsia" w:ascii="宋体" w:hAnsi="宋体" w:cs="宋体"/>
                <w:color w:val="auto"/>
                <w:sz w:val="28"/>
                <w:szCs w:val="28"/>
                <w:highlight w:val="none"/>
                <w:lang w:val="en-US" w:eastAsia="zh-CN"/>
              </w:rPr>
              <w:t xml:space="preserve">综合单价</w:t>
            </w:r>
            <w:r/>
          </w:p>
        </w:tc>
      </w:tr>
      <w:tr>
        <w:trPr/>
        <w:tc>
          <w:tcPr>
            <w:tcW w:w="9400" w:type="dxa"/>
            <w:vAlign w:val="top"/>
            <w:textDirection w:val="lrTb"/>
            <w:noWrap w:val="false"/>
          </w:tcPr>
          <w:p>
            <w:pPr>
              <w:spacing w:line="500" w:lineRule="exact"/>
              <w:tabs>
                <w:tab w:val="left" w:pos="1692" w:leader="none"/>
              </w:tabs>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auto"/>
                <w:sz w:val="28"/>
                <w:szCs w:val="28"/>
                <w:highlight w:val="none"/>
              </w:rPr>
              <w:t xml:space="preserve">小写：                             （人民币：元）</w:t>
            </w:r>
            <w:r/>
          </w:p>
        </w:tc>
      </w:tr>
    </w:tbl>
    <w:p>
      <w:pPr>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keepLines w:val="0"/>
        <w:keepNext w:val="0"/>
        <w:pageBreakBefore w:val="0"/>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bookmarkStart w:id="160" w:name="_Toc12113"/>
      <w:r>
        <w:rPr>
          <w:rFonts w:hint="eastAsia" w:ascii="宋体" w:hAnsi="宋体" w:eastAsia="宋体" w:cs="宋体"/>
          <w:color w:val="000000"/>
          <w:sz w:val="28"/>
          <w:szCs w:val="28"/>
          <w:highlight w:val="none"/>
        </w:rPr>
        <w:t xml:space="preserve">日期：     年     月     日</w:t>
      </w:r>
      <w:bookmarkEnd w:id="160"/>
      <w:r/>
      <w:r/>
    </w:p>
    <w:p>
      <w:pPr>
        <w:pStyle w:val="1175"/>
        <w:rPr>
          <w:rFonts w:hint="eastAsia" w:ascii="宋体" w:hAnsi="宋体" w:eastAsia="宋体" w:cs="宋体"/>
          <w:color w:val="000000"/>
          <w:sz w:val="32"/>
          <w:szCs w:val="32"/>
          <w:highlight w:val="none"/>
        </w:rPr>
        <w:outlineLvl w:val="1"/>
      </w:pPr>
      <w:r>
        <w:rPr>
          <w:rFonts w:hint="eastAsia" w:ascii="宋体" w:hAnsi="宋体" w:eastAsia="宋体" w:cs="宋体"/>
          <w:color w:val="000000"/>
          <w:sz w:val="28"/>
          <w:szCs w:val="28"/>
          <w:highlight w:val="none"/>
        </w:rPr>
        <w:br w:type="page" w:clear="all"/>
      </w:r>
      <w:bookmarkStart w:id="161" w:name="_Toc956"/>
      <w:r/>
      <w:bookmarkStart w:id="162" w:name="_Toc26543"/>
      <w:r/>
      <w:bookmarkStart w:id="163" w:name="_Toc12614"/>
      <w:r>
        <w:rPr>
          <w:rFonts w:hint="eastAsia" w:ascii="宋体" w:hAnsi="宋体" w:eastAsia="宋体" w:cs="宋体"/>
          <w:b w:val="0"/>
          <w:bCs/>
          <w:color w:val="000000"/>
          <w:sz w:val="32"/>
          <w:szCs w:val="32"/>
          <w:highlight w:val="none"/>
        </w:rPr>
        <w:t xml:space="preserve">五、</w:t>
      </w:r>
      <w:bookmarkEnd w:id="161"/>
      <w:r/>
      <w:bookmarkEnd w:id="162"/>
      <w:r>
        <w:rPr>
          <w:rFonts w:hint="eastAsia" w:ascii="宋体" w:hAnsi="宋体" w:eastAsia="宋体" w:cs="宋体"/>
          <w:b w:val="0"/>
          <w:bCs/>
          <w:color w:val="000000"/>
          <w:sz w:val="32"/>
          <w:szCs w:val="32"/>
          <w:highlight w:val="none"/>
        </w:rPr>
        <w:t xml:space="preserve">分项报价表</w:t>
      </w:r>
      <w:bookmarkEnd w:id="163"/>
      <w:r/>
      <w:r/>
    </w:p>
    <w:p>
      <w:pPr>
        <w:pStyle w:val="116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分项报价表</w:t>
      </w:r>
      <w:r/>
    </w:p>
    <w:p>
      <w:pPr>
        <w:pStyle w:val="1167"/>
        <w:jc w:val="center"/>
        <w:rPr>
          <w:rFonts w:hint="eastAsia" w:ascii="宋体" w:hAnsi="宋体" w:eastAsia="宋体" w:cs="宋体"/>
          <w:b/>
          <w:bCs/>
          <w:color w:val="000000"/>
          <w:sz w:val="32"/>
          <w:szCs w:val="32"/>
          <w:highlight w:val="none"/>
        </w:rPr>
      </w:pPr>
      <w:r>
        <w:rPr>
          <w:rFonts w:hint="eastAsia" w:ascii="宋体" w:hAnsi="宋体" w:eastAsia="宋体" w:cs="宋体"/>
          <w:bCs/>
          <w:color w:val="000000"/>
          <w:sz w:val="32"/>
          <w:szCs w:val="32"/>
          <w:highlight w:val="none"/>
        </w:rPr>
        <w:t xml:space="preserve">（货物类）</w:t>
      </w:r>
      <w:r/>
    </w:p>
    <w:tbl>
      <w:tblPr>
        <w:tblStyle w:val="839"/>
        <w:tblW w:w="9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6"/>
        <w:gridCol w:w="905"/>
        <w:gridCol w:w="571"/>
        <w:gridCol w:w="2601"/>
        <w:gridCol w:w="555"/>
        <w:gridCol w:w="1060"/>
        <w:gridCol w:w="10"/>
        <w:gridCol w:w="895"/>
        <w:gridCol w:w="705"/>
        <w:gridCol w:w="840"/>
        <w:gridCol w:w="810"/>
      </w:tblGrid>
      <w:tr>
        <w:trPr>
          <w:trHeight w:val="569"/>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9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W w:w="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auto"/>
            <w:tcW w:w="26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技术要求</w:t>
            </w:r>
            <w:r/>
          </w:p>
        </w:tc>
        <w:tc>
          <w:tcPr>
            <w:shd w:val="clear" w:color="ffffff" w:fill="ffffff"/>
            <w:tcW w:w="555" w:type="dxa"/>
            <w:vAlign w:val="center"/>
            <w:textDirection w:val="lrTb"/>
            <w:noWrap w:val="false"/>
          </w:tcPr>
          <w:p>
            <w:pPr>
              <w:rPr>
                <w:rFonts w:hint="eastAsia" w:ascii="宋体" w:hAnsi="宋体" w:eastAsia="宋体" w:cs="宋体"/>
                <w:bCs w:val="0"/>
                <w:i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品牌型号</w:t>
            </w:r>
            <w:r/>
          </w:p>
        </w:tc>
        <w:tc>
          <w:tcPr>
            <w:shd w:val="clear" w:color="auto" w:fill="auto"/>
            <w:tcW w:w="10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三年预计采购数量</w:t>
            </w:r>
            <w:r/>
          </w:p>
        </w:tc>
        <w:tc>
          <w:tcPr>
            <w:gridSpan w:val="2"/>
            <w:shd w:val="clear" w:color="auto" w:fill="auto"/>
            <w:tcW w:w="9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最高限价</w:t>
            </w:r>
            <w:r>
              <w:rPr>
                <w:rFonts w:hint="eastAsia" w:ascii="宋体" w:hAnsi="宋体" w:eastAsia="宋体" w:cs="宋体"/>
                <w:i w:val="0"/>
                <w:iCs w:val="0"/>
                <w:color w:val="000000"/>
                <w:sz w:val="21"/>
                <w:szCs w:val="21"/>
                <w:u w:val="none"/>
                <w:lang w:val="en-US" w:eastAsia="zh-CN" w:bidi="ar"/>
              </w:rPr>
              <w:t xml:space="preserve">单价</w:t>
            </w:r>
            <w:r/>
          </w:p>
        </w:tc>
        <w:tc>
          <w:tcPr>
            <w:shd w:val="clear" w:color="auto" w:fill="auto"/>
            <w:tcW w:w="7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投标报价单价</w:t>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w:t>
            </w:r>
            <w:r/>
          </w:p>
        </w:tc>
        <w:tc>
          <w:tcPr>
            <w:shd w:val="clear" w:color="auto" w:fill="auto"/>
            <w:tcW w:w="8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备注</w:t>
            </w:r>
            <w:r/>
          </w:p>
        </w:tc>
      </w:tr>
      <w:tr>
        <w:trPr>
          <w:trHeight w:val="525"/>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sz w:val="24"/>
                <w:szCs w:val="24"/>
                <w:lang w:eastAsia="zh-CN"/>
              </w:rPr>
              <mc:AlternateContent>
                <mc:Choice Requires="wpg">
                  <w:drawing>
                    <wp:inline xmlns:wp="http://schemas.openxmlformats.org/drawingml/2006/wordprocessingDrawing" distT="0" distB="0" distL="0" distR="0">
                      <wp:extent cx="127000" cy="127000"/>
                      <wp:effectExtent l="0" t="0" r="6350" b="6350"/>
                      <wp:docPr id="7" name="图片 9" descr="正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正圆"/>
                              <pic:cNvPicPr>
                                <a:picLocks noChangeAspect="1"/>
                              </pic:cNvPicPr>
                              <pic:nvPr/>
                            </pic:nvPicPr>
                            <pic:blipFill>
                              <a:blip r:embed="rId16"/>
                              <a:stretch/>
                            </pic:blipFill>
                            <pic:spPr bwMode="auto">
                              <a:xfrm>
                                <a:off x="0" y="0"/>
                                <a:ext cx="127000" cy="127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0pt;height:10.0pt;mso-wrap-distance-left:0.0pt;mso-wrap-distance-top:0.0pt;mso-wrap-distance-right:0.0pt;mso-wrap-distance-bottom:0.0pt;" stroked="false">
                      <v:path textboxrect="0,0,0,0"/>
                      <v:imagedata r:id="rId16" o:title=""/>
                    </v:shape>
                  </w:pict>
                </mc:Fallback>
              </mc:AlternateContent>
            </w:r>
            <w:r>
              <w:rPr>
                <w:rFonts w:hint="eastAsia" w:ascii="宋体" w:hAnsi="宋体" w:eastAsia="宋体" w:cs="宋体"/>
                <w:i w:val="0"/>
                <w:iCs w:val="0"/>
                <w:color w:val="000000"/>
                <w:sz w:val="21"/>
                <w:szCs w:val="21"/>
                <w:u w:val="none"/>
                <w:lang w:val="en-US" w:eastAsia="zh-CN" w:bidi="ar"/>
              </w:rPr>
              <w:t xml:space="preserve">期末纸品</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8K</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60g木浆纸，双面印刷</w:t>
            </w:r>
            <w:r/>
          </w:p>
        </w:tc>
        <w:tc>
          <w:tcPr>
            <w:shd w:val="clear" w:color="ffffff" w:fill="ffffff"/>
            <w:tcW w:w="555" w:type="dxa"/>
            <w:vAlign w:val="center"/>
            <w:textDirection w:val="lrTb"/>
            <w:noWrap w:val="false"/>
          </w:tcPr>
          <w:p>
            <w:pPr>
              <w:ind w:firstLine="210"/>
              <w:jc w:val="both"/>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both"/>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8280995</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0.13 </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25"/>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期末纸品</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16K</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60g木浆纸，双面印刷</w:t>
            </w:r>
            <w:r/>
          </w:p>
        </w:tc>
        <w:tc>
          <w:tcPr>
            <w:shd w:val="clear" w:color="ffffff" w:fill="ffffff"/>
            <w:tcW w:w="555"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4528086</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0.12</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25"/>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答题卡</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80g双胶纸，双面印刷</w:t>
            </w:r>
            <w:r/>
          </w:p>
        </w:tc>
        <w:tc>
          <w:tcPr>
            <w:shd w:val="clear" w:color="ffffff" w:fill="ffffff"/>
            <w:tcW w:w="555"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4010001</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0.13</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25"/>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答题卡</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A3</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80g双胶纸，双面印刷</w:t>
            </w:r>
            <w:r/>
          </w:p>
        </w:tc>
        <w:tc>
          <w:tcPr>
            <w:shd w:val="clear" w:color="ffffff" w:fill="ffffff"/>
            <w:tcW w:w="555"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2396597</w:t>
            </w:r>
            <w:r/>
          </w:p>
        </w:tc>
        <w:tc>
          <w:tcPr>
            <w:gridSpan w:val="2"/>
            <w:shd w:val="clear" w:color="auto" w:fill="auto"/>
            <w:tcW w:w="90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0.35</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40"/>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纸张袋</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16K</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80g牛皮纸1.方底、压痕。2.双舌头。3.纸张袋上印考试相关信息</w:t>
            </w:r>
            <w:r/>
          </w:p>
        </w:tc>
        <w:tc>
          <w:tcPr>
            <w:shd w:val="clear" w:color="ffffff" w:fill="ffffff"/>
            <w:tcW w:w="555"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150936</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0.9</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纸张袋</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8K</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80g牛皮纸1.方底、压痕。2.双舌头。3.纸张袋上印考试相关信息</w:t>
            </w:r>
            <w:r/>
          </w:p>
        </w:tc>
        <w:tc>
          <w:tcPr>
            <w:shd w:val="clear" w:color="ffffff" w:fill="ffffff"/>
            <w:tcW w:w="555"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276033</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0.9</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30份/袋</w:t>
            </w:r>
            <w:r/>
          </w:p>
        </w:tc>
      </w:tr>
      <w:tr>
        <w:trPr>
          <w:trHeight w:val="580"/>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答题卡袋</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120g牛皮纸1.方底、压痕。2.双舌头。3.纸张袋上印考试相关信息</w:t>
            </w:r>
            <w:r/>
          </w:p>
        </w:tc>
        <w:tc>
          <w:tcPr>
            <w:shd w:val="clear" w:color="ffffff" w:fill="ffffff"/>
            <w:tcW w:w="555"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133667</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0.81</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30份/袋</w:t>
            </w:r>
            <w:r/>
          </w:p>
        </w:tc>
      </w:tr>
      <w:tr>
        <w:trPr>
          <w:trHeight w:val="560"/>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答题卡袋</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A3</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120g牛皮纸1.方底、压痕。2.双舌头。3.纸张袋上印考试相关信息</w:t>
            </w:r>
            <w:r/>
          </w:p>
        </w:tc>
        <w:tc>
          <w:tcPr>
            <w:shd w:val="clear" w:color="ffffff" w:fill="ffffff"/>
            <w:tcW w:w="555"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79887</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30份/袋</w:t>
            </w:r>
            <w:r/>
          </w:p>
        </w:tc>
      </w:tr>
      <w:tr>
        <w:trPr>
          <w:trHeight w:val="446"/>
        </w:trPr>
        <w:tc>
          <w:tcPr>
            <w:gridSpan w:val="11"/>
            <w:shd w:val="clear" w:color="ffffff" w:fill="ffffff"/>
            <w:tcW w:w="9458" w:type="dxa"/>
            <w:vAlign w:val="center"/>
            <w:textDirection w:val="lrTb"/>
            <w:noWrap w:val="false"/>
          </w:tcPr>
          <w:p>
            <w:pPr>
              <w:ind w:left="0" w:right="0"/>
              <w:jc w:val="center"/>
              <w:keepLines w:val="0"/>
              <w:keepNext w:val="0"/>
              <w:spacing w:before="0" w:beforeAutospacing="0" w:after="0" w:afterAutospacing="0"/>
              <w:widowControl/>
              <w:tabs>
                <w:tab w:val="left" w:pos="2376" w:leader="none"/>
              </w:tabs>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扫描及数据处理和命题及答题卡制作</w:t>
            </w:r>
            <w:r/>
          </w:p>
        </w:tc>
      </w:tr>
      <w:tr>
        <w:trPr>
          <w:trHeight w:val="560"/>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9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扫描及数据处理</w:t>
            </w:r>
            <w:r/>
          </w:p>
        </w:tc>
        <w:tc>
          <w:tcPr>
            <w:shd w:val="clear" w:color="auto" w:fill="auto"/>
            <w:tcW w:w="5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260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W w:w="555" w:type="dxa"/>
            <w:vAlign w:val="center"/>
            <w:textDirection w:val="lrTb"/>
            <w:noWrap w:val="false"/>
          </w:tcPr>
          <w:p>
            <w:pPr>
              <w:jc w:val="center"/>
              <w:rPr>
                <w:rFonts w:hint="eastAsia" w:ascii="宋体" w:hAnsi="宋体" w:eastAsia="宋体" w:cs="宋体"/>
                <w:bCs w:val="0"/>
                <w:i w:val="0"/>
                <w:color w:val="000000"/>
                <w:sz w:val="21"/>
                <w:szCs w:val="21"/>
                <w:u w:val="none"/>
              </w:rPr>
            </w:pPr>
            <w:r>
              <w:rPr>
                <w:rFonts w:hint="eastAsia" w:ascii="宋体" w:hAnsi="宋体" w:eastAsia="宋体" w:cs="宋体"/>
                <w:i w:val="0"/>
                <w:iCs w:val="0"/>
                <w:color w:val="000000"/>
                <w:sz w:val="21"/>
                <w:szCs w:val="21"/>
                <w:u w:val="none"/>
              </w:rPr>
              <w:t xml:space="preserve">/</w:t>
            </w:r>
            <w:r/>
          </w:p>
        </w:tc>
        <w:tc>
          <w:tcPr>
            <w:shd w:val="clear" w:color="auto" w:fill="auto"/>
            <w:tcW w:w="106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11500</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34500</w:t>
            </w:r>
            <w:r/>
          </w:p>
        </w:tc>
        <w:tc>
          <w:tcPr>
            <w:shd w:val="clear" w:color="auto" w:fill="auto"/>
            <w:tcW w:w="81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固定</w:t>
            </w:r>
            <w:r/>
          </w:p>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费用</w:t>
            </w:r>
            <w:r/>
          </w:p>
        </w:tc>
      </w:tr>
      <w:tr>
        <w:trPr>
          <w:trHeight w:val="560"/>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9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命题</w:t>
            </w:r>
            <w:r/>
          </w:p>
        </w:tc>
        <w:tc>
          <w:tcPr>
            <w:shd w:val="clear" w:color="auto" w:fill="auto"/>
            <w:tcW w:w="5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260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W w:w="555" w:type="dxa"/>
            <w:vAlign w:val="center"/>
            <w:textDirection w:val="lrTb"/>
            <w:noWrap w:val="false"/>
          </w:tcPr>
          <w:p>
            <w:pPr>
              <w:jc w:val="center"/>
              <w:rPr>
                <w:rFonts w:hint="eastAsia" w:ascii="宋体" w:hAnsi="宋体" w:eastAsia="宋体" w:cs="宋体"/>
                <w:bCs w:val="0"/>
                <w:i w:val="0"/>
                <w:color w:val="000000"/>
                <w:sz w:val="21"/>
                <w:szCs w:val="21"/>
                <w:u w:val="none"/>
              </w:rPr>
            </w:pPr>
            <w:r>
              <w:rPr>
                <w:rFonts w:hint="eastAsia" w:ascii="宋体" w:hAnsi="宋体" w:eastAsia="宋体" w:cs="宋体"/>
                <w:i w:val="0"/>
                <w:iCs w:val="0"/>
                <w:color w:val="000000"/>
                <w:sz w:val="21"/>
                <w:szCs w:val="21"/>
                <w:u w:val="none"/>
              </w:rPr>
              <w:t xml:space="preserve">/</w:t>
            </w:r>
            <w:r/>
          </w:p>
        </w:tc>
        <w:tc>
          <w:tcPr>
            <w:shd w:val="clear" w:color="auto" w:fill="auto"/>
            <w:tcW w:w="106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118800</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356400</w:t>
            </w:r>
            <w:r/>
          </w:p>
        </w:tc>
        <w:tc>
          <w:tcPr>
            <w:shd w:val="clear" w:color="auto" w:fill="auto"/>
            <w:tcW w:w="810" w:type="dxa"/>
            <w:vAlign w:val="center"/>
            <w:vMerge w:val="continue"/>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60"/>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9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答题卡制作</w:t>
            </w:r>
            <w:r/>
          </w:p>
        </w:tc>
        <w:tc>
          <w:tcPr>
            <w:shd w:val="clear" w:color="auto" w:fill="auto"/>
            <w:tcW w:w="5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260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W w:w="555" w:type="dxa"/>
            <w:vAlign w:val="center"/>
            <w:textDirection w:val="lrTb"/>
            <w:noWrap w:val="false"/>
          </w:tcPr>
          <w:p>
            <w:pPr>
              <w:jc w:val="center"/>
              <w:rPr>
                <w:rFonts w:hint="eastAsia" w:ascii="宋体" w:hAnsi="宋体" w:eastAsia="宋体" w:cs="宋体"/>
                <w:bCs w:val="0"/>
                <w:i w:val="0"/>
                <w:color w:val="000000"/>
                <w:sz w:val="21"/>
                <w:szCs w:val="21"/>
                <w:u w:val="none"/>
              </w:rPr>
            </w:pPr>
            <w:r>
              <w:rPr>
                <w:rFonts w:hint="eastAsia" w:ascii="宋体" w:hAnsi="宋体" w:eastAsia="宋体" w:cs="宋体"/>
                <w:i w:val="0"/>
                <w:iCs w:val="0"/>
                <w:color w:val="000000"/>
                <w:sz w:val="21"/>
                <w:szCs w:val="21"/>
                <w:u w:val="none"/>
              </w:rPr>
              <w:t xml:space="preserve">/</w:t>
            </w:r>
            <w:r/>
          </w:p>
        </w:tc>
        <w:tc>
          <w:tcPr>
            <w:shd w:val="clear" w:color="auto" w:fill="auto"/>
            <w:tcW w:w="106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w:t>
            </w:r>
            <w:r/>
          </w:p>
        </w:tc>
        <w:tc>
          <w:tcPr>
            <w:gridSpan w:val="2"/>
            <w:shd w:val="clear" w:color="auto" w:fill="auto"/>
            <w:tcW w:w="90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21000</w:t>
            </w:r>
            <w:r/>
          </w:p>
        </w:tc>
        <w:tc>
          <w:tcPr>
            <w:shd w:val="clear" w:color="auto" w:fill="auto"/>
            <w:tcW w:w="810" w:type="dxa"/>
            <w:vAlign w:val="center"/>
            <w:vMerge w:val="continue"/>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40"/>
        </w:trPr>
        <w:tc>
          <w:tcPr>
            <w:gridSpan w:val="7"/>
            <w:shd w:val="clear" w:color="ffffff" w:fill="ffffff"/>
            <w:tcW w:w="620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ffffff" w:fill="ffffff"/>
            <w:tcW w:w="8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137304.94</w:t>
            </w:r>
            <w:r/>
          </w:p>
        </w:tc>
        <w:tc>
          <w:tcPr>
            <w:shd w:val="clear" w:color="auto" w:fill="auto"/>
            <w:tcW w:w="70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备注：“投标总报价”数额应当与“开标一览表”中“投标</w:t>
      </w:r>
      <w:r>
        <w:rPr>
          <w:rFonts w:hint="eastAsia" w:ascii="宋体" w:hAnsi="宋体"/>
          <w:color w:val="000000"/>
          <w:sz w:val="24"/>
          <w:szCs w:val="24"/>
          <w:highlight w:val="none"/>
          <w:lang w:val="en-US" w:eastAsia="zh-CN"/>
        </w:rPr>
        <w:t xml:space="preserve">综合单价</w:t>
      </w:r>
      <w:r>
        <w:rPr>
          <w:rFonts w:hint="eastAsia" w:ascii="宋体" w:hAnsi="宋体"/>
          <w:color w:val="000000"/>
          <w:sz w:val="28"/>
          <w:szCs w:val="28"/>
          <w:highlight w:val="none"/>
        </w:rPr>
        <w:t xml:space="preserve">”</w:t>
      </w:r>
      <w:r>
        <w:rPr>
          <w:rFonts w:hint="eastAsia" w:ascii="宋体" w:hAnsi="宋体"/>
          <w:color w:val="000000"/>
          <w:sz w:val="24"/>
          <w:szCs w:val="24"/>
          <w:highlight w:val="none"/>
        </w:rPr>
        <w:t xml:space="preserve">数额一致。</w:t>
      </w:r>
      <w:r/>
    </w:p>
    <w:p>
      <w:pPr>
        <w:spacing w:line="480" w:lineRule="exact"/>
        <w:rPr>
          <w:rFonts w:hint="default" w:eastAsia="宋体"/>
          <w:b/>
          <w:bCs/>
          <w:lang w:val="en-US" w:eastAsia="zh-CN"/>
        </w:rPr>
      </w:pPr>
      <w:r>
        <w:rPr>
          <w:rFonts w:hint="eastAsia"/>
          <w:b/>
          <w:bCs/>
          <w:color w:val="000000"/>
          <w:sz w:val="24"/>
          <w:szCs w:val="24"/>
          <w:highlight w:val="none"/>
          <w:lang w:val="en-US" w:eastAsia="zh-CN"/>
        </w:rPr>
        <w:t xml:space="preserve">投标人按此报价表清单及格式报价，更正清单内容为无效标。</w:t>
      </w:r>
      <w:r/>
    </w:p>
    <w:p>
      <w:pPr>
        <w:spacing w:line="480" w:lineRule="exact"/>
        <w:rPr>
          <w:rFonts w:hint="default" w:eastAsia="宋体"/>
          <w:color w:val="000000"/>
          <w:highlight w:val="none"/>
          <w:lang w:val="en-US" w:eastAsia="zh-CN"/>
        </w:rPr>
      </w:pPr>
      <w:r>
        <w:rPr>
          <w:rFonts w:hint="default" w:eastAsia="宋体"/>
          <w:color w:val="000000"/>
          <w:highlight w:val="none"/>
          <w:lang w:val="en-US" w:eastAsia="zh-CN"/>
        </w:rPr>
      </w:r>
      <w:r/>
    </w:p>
    <w:p>
      <w:pPr>
        <w:pStyle w:val="1201"/>
        <w:rPr>
          <w:rFonts w:hint="eastAsia" w:ascii="宋体" w:hAnsi="宋体" w:eastAsia="宋体" w:cs="宋体"/>
          <w:b w:val="0"/>
          <w:bCs/>
          <w:color w:val="000000"/>
          <w:sz w:val="30"/>
          <w:szCs w:val="30"/>
          <w:highlight w:val="none"/>
        </w:rPr>
        <w:outlineLvl w:val="1"/>
      </w:pPr>
      <w:r/>
      <w:bookmarkStart w:id="164" w:name="_Toc21129"/>
      <w:r/>
      <w:bookmarkStart w:id="165" w:name="_Toc17418"/>
      <w:r/>
      <w:bookmarkStart w:id="166" w:name="_Toc2747"/>
      <w:r/>
      <w:r/>
    </w:p>
    <w:p>
      <w:pPr>
        <w:pStyle w:val="1201"/>
        <w:rPr>
          <w:rFonts w:hint="eastAsia" w:ascii="宋体" w:hAnsi="宋体" w:eastAsia="宋体" w:cs="宋体"/>
          <w:b w:val="0"/>
          <w:bCs/>
          <w:color w:val="000000"/>
          <w:sz w:val="30"/>
          <w:szCs w:val="30"/>
          <w:highlight w:val="none"/>
        </w:rPr>
        <w:outlineLvl w:val="1"/>
      </w:pPr>
      <w:r>
        <w:rPr>
          <w:rFonts w:hint="eastAsia" w:ascii="宋体" w:hAnsi="宋体" w:eastAsia="宋体" w:cs="宋体"/>
          <w:b w:val="0"/>
          <w:bCs/>
          <w:color w:val="000000"/>
          <w:sz w:val="30"/>
          <w:szCs w:val="30"/>
          <w:highlight w:val="none"/>
        </w:rPr>
      </w:r>
      <w:r/>
    </w:p>
    <w:p>
      <w:pPr>
        <w:pStyle w:val="1201"/>
        <w:rPr>
          <w:rFonts w:hint="eastAsia" w:ascii="宋体" w:hAnsi="宋体" w:eastAsia="宋体" w:cs="宋体"/>
          <w:bCs/>
          <w:color w:val="000000"/>
          <w:sz w:val="32"/>
          <w:szCs w:val="32"/>
          <w:highlight w:val="none"/>
        </w:rPr>
        <w:outlineLvl w:val="1"/>
      </w:pPr>
      <w:r>
        <w:rPr>
          <w:rFonts w:hint="eastAsia" w:ascii="宋体" w:hAnsi="宋体" w:eastAsia="宋体" w:cs="宋体"/>
          <w:b w:val="0"/>
          <w:bCs/>
          <w:color w:val="000000"/>
          <w:sz w:val="30"/>
          <w:szCs w:val="30"/>
          <w:highlight w:val="none"/>
        </w:rPr>
        <w:t xml:space="preserve">六、</w:t>
      </w:r>
      <w:r>
        <w:rPr>
          <w:rFonts w:hint="eastAsia" w:ascii="宋体" w:hAnsi="宋体" w:eastAsia="宋体" w:cs="宋体"/>
          <w:b w:val="0"/>
          <w:bCs/>
          <w:color w:val="000000"/>
          <w:sz w:val="32"/>
          <w:szCs w:val="32"/>
          <w:highlight w:val="none"/>
        </w:rPr>
        <w:t xml:space="preserve">中小企业或残疾人福利性单位声明函</w:t>
      </w:r>
      <w:bookmarkEnd w:id="164"/>
      <w:r/>
      <w:bookmarkEnd w:id="165"/>
      <w:r/>
      <w:bookmarkEnd w:id="166"/>
      <w:r/>
      <w:r/>
    </w:p>
    <w:p>
      <w:pPr>
        <w:pStyle w:val="116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中小微企业声明函</w:t>
      </w:r>
      <w:r/>
    </w:p>
    <w:p>
      <w:pPr>
        <w:pStyle w:val="116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（货物类项目）</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 </w:t>
      </w:r>
      <w:r>
        <w:rPr>
          <w:rFonts w:hint="eastAsia" w:ascii="宋体" w:hAnsi="宋体" w:eastAsia="宋体" w:cs="宋体"/>
          <w:color w:val="000000"/>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（投标人填写招标文件中明确的所属行业）</w:t>
      </w:r>
      <w:r>
        <w:rPr>
          <w:rFonts w:hint="eastAsia" w:ascii="宋体" w:hAnsi="宋体" w:eastAsia="宋体" w:cs="宋体"/>
          <w:color w:val="000000"/>
          <w:sz w:val="24"/>
          <w:szCs w:val="24"/>
          <w:highlight w:val="none"/>
        </w:rPr>
        <w:t xml:space="preserve">行业；投标产品制造商为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p>
    <w:p>
      <w:pPr>
        <w:ind w:firstLine="480"/>
        <w:spacing w:line="48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（投标人填写招标文件中明确的所属行业）</w:t>
      </w:r>
      <w:r>
        <w:rPr>
          <w:rFonts w:hint="eastAsia" w:ascii="宋体" w:hAnsi="宋体" w:eastAsia="宋体" w:cs="宋体"/>
          <w:color w:val="000000"/>
          <w:sz w:val="24"/>
          <w:szCs w:val="24"/>
          <w:highlight w:val="none"/>
        </w:rPr>
        <w:t xml:space="preserve">行业；投标产品制造商为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180" w:firstLine="360"/>
        <w:jc w:val="righ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p>
    <w:p>
      <w:pPr>
        <w:ind w:right="180" w:firstLine="36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p>
    <w:p>
      <w:pPr>
        <w:numPr>
          <w:ilvl w:val="0"/>
          <w:numId w:val="0"/>
        </w:num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此声明函将随</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结果同时公告，接受社会监督。</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中小企业声明函填写不符合要求，是引起无效标的重要因素之一。</w:t>
      </w:r>
      <w:r/>
    </w:p>
    <w:p>
      <w:pPr>
        <w:pStyle w:val="1183"/>
        <w:spacing w:before="151" w:after="151" w:line="6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83"/>
        <w:spacing w:before="151" w:after="151" w:line="600" w:lineRule="exact"/>
        <w:rPr>
          <w:rFonts w:hint="eastAsia" w:ascii="宋体"/>
          <w:b/>
          <w:bCs/>
          <w:color w:val="000000"/>
          <w:sz w:val="32"/>
          <w:szCs w:val="32"/>
          <w:highlight w:val="none"/>
        </w:rPr>
      </w:pPr>
      <w:r>
        <w:rPr>
          <w:rFonts w:hint="eastAsia" w:ascii="宋体"/>
          <w:b/>
          <w:bCs/>
          <w:color w:val="000000"/>
          <w:sz w:val="32"/>
          <w:szCs w:val="32"/>
          <w:highlight w:val="none"/>
        </w:rPr>
      </w:r>
      <w:r/>
    </w:p>
    <w:p>
      <w:pPr>
        <w:pStyle w:val="116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残疾人福利性单位声明函</w:t>
      </w:r>
      <w:r/>
    </w:p>
    <w:p>
      <w:pPr>
        <w:pStyle w:val="1185"/>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 </w:t>
      </w:r>
      <w:r>
        <w:rPr>
          <w:rFonts w:hint="eastAsia" w:ascii="宋体" w:hAnsi="宋体" w:eastAsia="宋体" w:cs="宋体"/>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p>
    <w:p>
      <w:pPr>
        <w:pStyle w:val="1186"/>
        <w:ind w:firstLine="3810"/>
        <w:spacing w:line="50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186"/>
        <w:ind w:firstLine="3629"/>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86"/>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盖CA电子公章</w:t>
      </w:r>
      <w:r>
        <w:rPr>
          <w:rFonts w:hint="eastAsia" w:ascii="宋体" w:hAnsi="宋体" w:eastAsia="宋体" w:cs="宋体"/>
          <w:color w:val="000000"/>
          <w:sz w:val="24"/>
          <w:highlight w:val="none"/>
        </w:rPr>
        <w:t xml:space="preserve">）</w:t>
      </w:r>
      <w:r/>
    </w:p>
    <w:p>
      <w:pPr>
        <w:pStyle w:val="1183"/>
        <w:ind w:firstLine="480"/>
        <w:jc w:val="left"/>
        <w:spacing w:line="50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  年  月  日</w:t>
      </w:r>
      <w:r/>
    </w:p>
    <w:p>
      <w:pPr>
        <w:pStyle w:val="1185"/>
        <w:ind w:right="1560" w:firstLine="480"/>
        <w:jc w:val="center"/>
        <w:spacing w:line="588" w:lineRule="exact"/>
        <w:tabs>
          <w:tab w:val="left" w:pos="48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7"/>
        <w:ind w:left="357" w:firstLine="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4"/>
        <w:ind w:firstLine="442"/>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非残疾人福利性单位不需提供此函。</w:t>
      </w:r>
      <w:r/>
    </w:p>
    <w:p>
      <w:pPr>
        <w:pStyle w:val="1184"/>
        <w:ind w:firstLine="442"/>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4"/>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84"/>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84"/>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4"/>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839"/>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951"/>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951"/>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67"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951"/>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2.对采购需求的其它非实质性要求，投标人按所投产品情况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67"/>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74"/>
        <w:rPr>
          <w:rFonts w:hint="eastAsia" w:ascii="宋体" w:hAnsi="宋体" w:eastAsia="宋体" w:cs="宋体"/>
          <w:bCs/>
          <w:color w:val="000000"/>
          <w:highlight w:val="none"/>
        </w:rPr>
      </w:pPr>
      <w:r/>
      <w:bookmarkStart w:id="168" w:name="_Toc15871"/>
      <w:r/>
      <w:bookmarkStart w:id="169" w:name="_Toc25337"/>
      <w:r>
        <w:rPr>
          <w:rFonts w:hint="eastAsia" w:ascii="宋体" w:hAnsi="宋体" w:eastAsia="宋体" w:cs="宋体"/>
          <w:bCs/>
          <w:color w:val="000000"/>
          <w:highlight w:val="none"/>
        </w:rPr>
        <w:t xml:space="preserve">八、项目组人员</w:t>
      </w:r>
      <w:r/>
    </w:p>
    <w:tbl>
      <w:tblPr>
        <w:tblStyle w:val="83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7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7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7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70"/>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7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7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33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33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33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33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33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33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33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33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7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70" w:name="_格式2__法定代表人授权书"/>
      <w:r/>
      <w:bookmarkEnd w:id="170"/>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01"/>
        <w:ind w:left="210"/>
        <w:rPr>
          <w:rFonts w:hint="eastAsia" w:ascii="宋体" w:hAnsi="宋体" w:eastAsia="宋体" w:cs="宋体"/>
          <w:b w:val="0"/>
          <w:color w:val="000000"/>
          <w:szCs w:val="32"/>
          <w:highlight w:val="none"/>
        </w:rPr>
        <w:outlineLvl w:val="1"/>
      </w:pPr>
      <w:r>
        <w:rPr>
          <w:rFonts w:hint="eastAsia" w:ascii="宋体"/>
          <w:b w:val="0"/>
          <w:color w:val="000000"/>
          <w:szCs w:val="32"/>
          <w:highlight w:val="none"/>
        </w:rPr>
        <w:br w:type="page" w:clear="all"/>
      </w:r>
      <w:r>
        <w:rPr>
          <w:rFonts w:hint="eastAsia" w:ascii="宋体" w:hAnsi="宋体" w:eastAsia="宋体" w:cs="宋体"/>
          <w:b w:val="0"/>
          <w:color w:val="000000"/>
          <w:szCs w:val="32"/>
          <w:highlight w:val="none"/>
        </w:rPr>
        <w:t xml:space="preserve">九、企业业绩</w:t>
      </w:r>
      <w:bookmarkEnd w:id="168"/>
      <w:r/>
      <w:bookmarkEnd w:id="169"/>
      <w:r/>
      <w:r/>
    </w:p>
    <w:p>
      <w:pPr>
        <w:pStyle w:val="1209"/>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投标人</w:t>
      </w:r>
      <w:bookmarkStart w:id="171" w:name="_Hlk187935031"/>
      <w:r>
        <w:rPr>
          <w:rFonts w:hint="eastAsia" w:ascii="宋体" w:hAnsi="宋体" w:eastAsia="宋体" w:cs="宋体"/>
          <w:bCs/>
          <w:color w:val="000000"/>
          <w:sz w:val="32"/>
          <w:szCs w:val="32"/>
          <w:highlight w:val="none"/>
        </w:rPr>
        <w:t xml:space="preserve">自</w:t>
      </w:r>
      <w:r>
        <w:rPr>
          <w:rFonts w:hint="eastAsia" w:ascii="宋体" w:hAnsi="宋体" w:eastAsia="宋体" w:cs="宋体"/>
          <w:bCs/>
          <w:color w:val="000000"/>
          <w:sz w:val="32"/>
          <w:szCs w:val="32"/>
          <w:highlight w:val="none"/>
          <w:u w:val="single"/>
          <w:lang w:val="en-US" w:eastAsia="zh-CN"/>
        </w:rPr>
        <w:t xml:space="preserve">   </w:t>
      </w:r>
      <w:r>
        <w:rPr>
          <w:rFonts w:hint="eastAsia" w:ascii="宋体" w:hAnsi="宋体" w:eastAsia="宋体" w:cs="宋体"/>
          <w:bCs/>
          <w:color w:val="000000"/>
          <w:sz w:val="32"/>
          <w:szCs w:val="32"/>
          <w:highlight w:val="none"/>
        </w:rPr>
        <w:t xml:space="preserve">年</w:t>
      </w:r>
      <w:r>
        <w:rPr>
          <w:rFonts w:hint="eastAsia" w:ascii="宋体" w:hAnsi="宋体" w:eastAsia="宋体" w:cs="宋体"/>
          <w:bCs/>
          <w:color w:val="000000"/>
          <w:sz w:val="32"/>
          <w:szCs w:val="32"/>
          <w:highlight w:val="none"/>
          <w:u w:val="single"/>
          <w:lang w:val="en-US" w:eastAsia="zh-CN"/>
        </w:rPr>
        <w:t xml:space="preserve">   </w:t>
      </w:r>
      <w:r>
        <w:rPr>
          <w:rFonts w:hint="eastAsia" w:ascii="宋体" w:hAnsi="宋体" w:eastAsia="宋体" w:cs="宋体"/>
          <w:bCs/>
          <w:color w:val="000000"/>
          <w:sz w:val="32"/>
          <w:szCs w:val="32"/>
          <w:highlight w:val="none"/>
          <w:u w:val="none"/>
          <w:lang w:val="en-US" w:eastAsia="zh-CN"/>
        </w:rPr>
        <w:t xml:space="preserve">月</w:t>
      </w:r>
      <w:r>
        <w:rPr>
          <w:rFonts w:hint="eastAsia" w:ascii="宋体" w:hAnsi="宋体" w:eastAsia="宋体" w:cs="宋体"/>
          <w:bCs/>
          <w:color w:val="000000"/>
          <w:sz w:val="32"/>
          <w:szCs w:val="32"/>
          <w:highlight w:val="none"/>
          <w:u w:val="single"/>
          <w:lang w:val="en-US" w:eastAsia="zh-CN"/>
        </w:rPr>
        <w:t xml:space="preserve">   </w:t>
      </w:r>
      <w:r>
        <w:rPr>
          <w:rFonts w:hint="eastAsia" w:ascii="宋体" w:hAnsi="宋体" w:eastAsia="宋体" w:cs="宋体"/>
          <w:bCs/>
          <w:color w:val="000000"/>
          <w:sz w:val="32"/>
          <w:szCs w:val="32"/>
          <w:highlight w:val="none"/>
        </w:rPr>
        <w:t xml:space="preserve">日以来承担</w:t>
      </w:r>
      <w:r/>
    </w:p>
    <w:p>
      <w:pPr>
        <w:pStyle w:val="1209"/>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类似项目业绩一览表</w:t>
      </w:r>
      <w:bookmarkEnd w:id="171"/>
      <w:r/>
      <w:r/>
    </w:p>
    <w:tbl>
      <w:tblPr>
        <w:tblStyle w:val="83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351"/>
        <w:gridCol w:w="2452"/>
        <w:gridCol w:w="1852"/>
      </w:tblGrid>
      <w:tr>
        <w:trPr>
          <w:jc w:val="center"/>
          <w:trHeight w:val="753"/>
        </w:trPr>
        <w:tc>
          <w:tcPr>
            <w:tcW w:w="1229" w:type="dxa"/>
            <w:vAlign w:val="top"/>
            <w:textDirection w:val="lrTb"/>
            <w:noWrap w:val="false"/>
          </w:tcPr>
          <w:p>
            <w:pPr>
              <w:pStyle w:val="1210"/>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p>
        </w:tc>
        <w:tc>
          <w:tcPr>
            <w:tcW w:w="3351" w:type="dxa"/>
            <w:vAlign w:val="center"/>
            <w:textDirection w:val="lrTb"/>
            <w:noWrap w:val="false"/>
          </w:tcPr>
          <w:p>
            <w:pPr>
              <w:pStyle w:val="1210"/>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p>
        </w:tc>
        <w:tc>
          <w:tcPr>
            <w:tcW w:w="2452" w:type="dxa"/>
            <w:vAlign w:val="center"/>
            <w:textDirection w:val="lrTb"/>
            <w:noWrap w:val="false"/>
          </w:tcPr>
          <w:p>
            <w:pPr>
              <w:pStyle w:val="1210"/>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采购单位</w:t>
            </w:r>
            <w:r/>
          </w:p>
        </w:tc>
        <w:tc>
          <w:tcPr>
            <w:tcW w:w="1852" w:type="dxa"/>
            <w:vAlign w:val="center"/>
            <w:textDirection w:val="lrTb"/>
            <w:noWrap w:val="false"/>
          </w:tcPr>
          <w:p>
            <w:pPr>
              <w:pStyle w:val="1210"/>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351" w:type="dxa"/>
            <w:vAlign w:val="center"/>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52" w:type="dxa"/>
            <w:vAlign w:val="center"/>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852" w:type="dxa"/>
            <w:vAlign w:val="center"/>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351" w:type="dxa"/>
            <w:vAlign w:val="center"/>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52" w:type="dxa"/>
            <w:vAlign w:val="center"/>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852" w:type="dxa"/>
            <w:vAlign w:val="center"/>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351" w:type="dxa"/>
            <w:vAlign w:val="center"/>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52" w:type="dxa"/>
            <w:vAlign w:val="center"/>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852" w:type="dxa"/>
            <w:vAlign w:val="center"/>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351" w:type="dxa"/>
            <w:vAlign w:val="center"/>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52" w:type="dxa"/>
            <w:vAlign w:val="center"/>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852" w:type="dxa"/>
            <w:vAlign w:val="center"/>
            <w:textDirection w:val="lrTb"/>
            <w:noWrap w:val="false"/>
          </w:tcPr>
          <w:p>
            <w:pPr>
              <w:pStyle w:val="121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209"/>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172" w:name="_Toc26048"/>
      <w:r/>
      <w:bookmarkStart w:id="173" w:name="_Toc9275"/>
      <w:r>
        <w:rPr>
          <w:rFonts w:hint="eastAsia" w:ascii="宋体" w:hAnsi="宋体" w:eastAsia="宋体" w:cs="宋体"/>
          <w:color w:val="000000"/>
          <w:sz w:val="32"/>
          <w:szCs w:val="32"/>
          <w:highlight w:val="none"/>
        </w:rPr>
        <w:t xml:space="preserve">十、投标所需其他材料</w:t>
      </w:r>
      <w:bookmarkEnd w:id="172"/>
      <w:r/>
      <w:bookmarkEnd w:id="173"/>
      <w:r/>
      <w:r/>
    </w:p>
    <w:p>
      <w:pPr>
        <w:pStyle w:val="1213"/>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88"/>
        <w:ind w:firstLine="480"/>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cs="仿宋"/>
          <w:b/>
          <w:bCs/>
          <w:sz w:val="32"/>
          <w:szCs w:val="32"/>
          <w:highlight w:val="none"/>
        </w:rPr>
      </w:pPr>
      <w:r>
        <w:rPr>
          <w:rFonts w:hint="eastAsia" w:cs="仿宋"/>
          <w:b/>
          <w:bCs/>
          <w:sz w:val="32"/>
          <w:szCs w:val="32"/>
          <w:highlight w:val="none"/>
        </w:rPr>
        <w:t xml:space="preserve">质疑函范本</w:t>
      </w:r>
      <w:r/>
    </w:p>
    <w:p>
      <w:pPr>
        <w:spacing w:before="290" w:line="360" w:lineRule="auto"/>
        <w:rPr>
          <w:rFonts w:cs="仿宋"/>
          <w:bCs/>
          <w:sz w:val="24"/>
          <w:szCs w:val="24"/>
          <w:highlight w:val="none"/>
        </w:rPr>
      </w:pPr>
      <w:r>
        <w:rPr>
          <w:rFonts w:hint="eastAsia" w:cs="仿宋"/>
          <w:bCs/>
          <w:sz w:val="24"/>
          <w:szCs w:val="24"/>
          <w:highlight w:val="none"/>
        </w:rPr>
        <w:t xml:space="preserve">一、质疑投标人基本信息</w:t>
      </w:r>
      <w:r/>
    </w:p>
    <w:p>
      <w:pPr>
        <w:spacing w:line="360" w:lineRule="auto"/>
        <w:rPr>
          <w:rFonts w:cs="仿宋"/>
          <w:sz w:val="24"/>
          <w:szCs w:val="24"/>
          <w:highlight w:val="none"/>
          <w:u w:val="single"/>
        </w:rPr>
      </w:pPr>
      <w:r>
        <w:rPr>
          <w:rFonts w:hint="eastAsia" w:cs="仿宋"/>
          <w:sz w:val="24"/>
          <w:szCs w:val="24"/>
          <w:highlight w:val="none"/>
        </w:rPr>
        <w:t xml:space="preserve">质疑投标人：</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联系人：</w:t>
      </w:r>
      <w:r>
        <w:rPr>
          <w:rFonts w:hint="eastAsia" w:cs="仿宋"/>
          <w:sz w:val="24"/>
          <w:szCs w:val="24"/>
          <w:highlight w:val="none"/>
          <w:u w:val="single"/>
        </w:rPr>
        <w:t xml:space="preserve">                      </w:t>
      </w: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授权代表：</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二、质疑项目基本情况</w:t>
      </w:r>
      <w:r/>
    </w:p>
    <w:p>
      <w:pPr>
        <w:spacing w:line="360" w:lineRule="auto"/>
        <w:rPr>
          <w:rFonts w:cs="仿宋"/>
          <w:sz w:val="24"/>
          <w:szCs w:val="24"/>
          <w:highlight w:val="none"/>
        </w:rPr>
      </w:pPr>
      <w:r>
        <w:rPr>
          <w:rFonts w:hint="eastAsia" w:cs="仿宋"/>
          <w:sz w:val="24"/>
          <w:szCs w:val="24"/>
          <w:highlight w:val="none"/>
        </w:rPr>
        <w:t xml:space="preserve">质疑项目的名称：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质疑项目的编号：</w:t>
      </w:r>
      <w:r>
        <w:rPr>
          <w:rFonts w:hint="eastAsia" w:cs="仿宋"/>
          <w:sz w:val="24"/>
          <w:szCs w:val="24"/>
          <w:highlight w:val="none"/>
          <w:u w:val="single"/>
        </w:rPr>
        <w:t xml:space="preserve">                         </w:t>
      </w:r>
      <w:r>
        <w:rPr>
          <w:rFonts w:hint="eastAsia" w:cs="仿宋"/>
          <w:sz w:val="24"/>
          <w:szCs w:val="24"/>
          <w:highlight w:val="none"/>
        </w:rPr>
        <w:t xml:space="preserve">包号：</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采购人名称：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采购文件获取日期：</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三、质疑事项具体内容</w:t>
      </w:r>
      <w:r/>
    </w:p>
    <w:p>
      <w:pPr>
        <w:spacing w:line="360" w:lineRule="auto"/>
        <w:rPr>
          <w:rFonts w:cs="仿宋"/>
          <w:sz w:val="24"/>
          <w:szCs w:val="24"/>
          <w:highlight w:val="none"/>
          <w:u w:val="single"/>
        </w:rPr>
      </w:pPr>
      <w:r>
        <w:rPr>
          <w:rFonts w:hint="eastAsia" w:cs="仿宋"/>
          <w:sz w:val="24"/>
          <w:szCs w:val="24"/>
          <w:highlight w:val="none"/>
        </w:rPr>
        <w:t xml:space="preserve">质疑事项1：</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事实依据：</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法律依据：</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质疑事项2</w:t>
      </w:r>
      <w:r/>
    </w:p>
    <w:p>
      <w:pPr>
        <w:spacing w:line="360" w:lineRule="auto"/>
        <w:rPr>
          <w:rFonts w:cs="仿宋"/>
          <w:sz w:val="24"/>
          <w:szCs w:val="24"/>
          <w:highlight w:val="none"/>
        </w:rPr>
      </w:pPr>
      <w:r>
        <w:rPr>
          <w:rFonts w:hint="eastAsia" w:cs="仿宋"/>
          <w:sz w:val="24"/>
          <w:szCs w:val="24"/>
          <w:highlight w:val="none"/>
        </w:rPr>
        <w:t xml:space="preserve">……</w:t>
      </w:r>
      <w:r/>
    </w:p>
    <w:p>
      <w:pPr>
        <w:spacing w:line="360" w:lineRule="auto"/>
        <w:rPr>
          <w:rFonts w:cs="仿宋"/>
          <w:bCs/>
          <w:sz w:val="24"/>
          <w:szCs w:val="24"/>
          <w:highlight w:val="none"/>
        </w:rPr>
      </w:pPr>
      <w:r>
        <w:rPr>
          <w:rFonts w:hint="eastAsia" w:cs="仿宋"/>
          <w:bCs/>
          <w:sz w:val="24"/>
          <w:szCs w:val="24"/>
          <w:highlight w:val="none"/>
        </w:rPr>
        <w:t xml:space="preserve">四、与质疑事项相关的质疑请求</w:t>
      </w:r>
      <w:r/>
    </w:p>
    <w:p>
      <w:pPr>
        <w:spacing w:line="360" w:lineRule="auto"/>
        <w:rPr>
          <w:rFonts w:cs="仿宋"/>
          <w:sz w:val="24"/>
          <w:szCs w:val="24"/>
          <w:highlight w:val="none"/>
          <w:u w:val="single"/>
        </w:rPr>
      </w:pPr>
      <w:r>
        <w:rPr>
          <w:rFonts w:hint="eastAsia" w:cs="仿宋"/>
          <w:sz w:val="24"/>
          <w:szCs w:val="24"/>
          <w:highlight w:val="none"/>
        </w:rPr>
        <w:t xml:space="preserve">请求：</w:t>
      </w:r>
      <w:r>
        <w:rPr>
          <w:rFonts w:hint="eastAsia" w:cs="仿宋"/>
          <w:sz w:val="24"/>
          <w:szCs w:val="24"/>
          <w:highlight w:val="none"/>
          <w:u w:val="single"/>
        </w:rPr>
        <w:t xml:space="preserve">                                                                     </w:t>
      </w:r>
      <w:r/>
    </w:p>
    <w:p>
      <w:pPr>
        <w:rPr>
          <w:sz w:val="24"/>
          <w:szCs w:val="24"/>
          <w:highlight w:val="none"/>
        </w:rPr>
      </w:pPr>
      <w:r>
        <w:rPr>
          <w:rFonts w:hint="eastAsia"/>
          <w:sz w:val="24"/>
          <w:szCs w:val="24"/>
          <w:highlight w:val="none"/>
        </w:rPr>
        <w:t xml:space="preserve">签字(签章)：                   公章：                      </w:t>
      </w:r>
      <w:r/>
    </w:p>
    <w:p>
      <w:pPr>
        <w:rPr>
          <w:sz w:val="24"/>
          <w:szCs w:val="24"/>
          <w:highlight w:val="none"/>
        </w:rPr>
      </w:pPr>
      <w:r>
        <w:rPr>
          <w:rFonts w:hint="eastAsia"/>
          <w:sz w:val="24"/>
          <w:szCs w:val="24"/>
          <w:highlight w:val="none"/>
        </w:rPr>
        <w:t xml:space="preserve">日期：    </w:t>
      </w:r>
      <w:r/>
    </w:p>
    <w:p>
      <w:pPr>
        <w:spacing w:line="400" w:lineRule="exact"/>
        <w:rPr>
          <w:b/>
          <w:sz w:val="24"/>
          <w:szCs w:val="24"/>
          <w:highlight w:val="none"/>
        </w:rPr>
      </w:pPr>
      <w:r>
        <w:rPr>
          <w:b/>
          <w:sz w:val="24"/>
          <w:szCs w:val="24"/>
          <w:highlight w:val="none"/>
        </w:rPr>
      </w:r>
      <w:r/>
    </w:p>
    <w:p>
      <w:pPr>
        <w:jc w:val="left"/>
        <w:widowControl/>
        <w:rPr>
          <w:b/>
          <w:sz w:val="24"/>
          <w:szCs w:val="24"/>
          <w:highlight w:val="none"/>
        </w:rPr>
      </w:pPr>
      <w:r>
        <w:rPr>
          <w:b/>
          <w:sz w:val="24"/>
          <w:szCs w:val="24"/>
          <w:highlight w:val="none"/>
        </w:rPr>
        <w:br w:type="page" w:clear="all"/>
      </w:r>
      <w:r/>
    </w:p>
    <w:p>
      <w:pPr>
        <w:spacing w:line="400" w:lineRule="exact"/>
        <w:rPr>
          <w:b/>
          <w:sz w:val="24"/>
          <w:szCs w:val="24"/>
          <w:highlight w:val="none"/>
        </w:rPr>
      </w:pPr>
      <w:r>
        <w:rPr>
          <w:b/>
          <w:sz w:val="24"/>
          <w:szCs w:val="24"/>
          <w:highlight w:val="none"/>
        </w:rPr>
      </w:r>
      <w:r/>
    </w:p>
    <w:p>
      <w:pPr>
        <w:jc w:val="left"/>
        <w:widowControl/>
        <w:rPr>
          <w:b/>
          <w:sz w:val="24"/>
          <w:szCs w:val="24"/>
          <w:highlight w:val="none"/>
        </w:rPr>
      </w:pPr>
      <w:r>
        <w:rPr>
          <w:rFonts w:hint="eastAsia"/>
          <w:b/>
          <w:sz w:val="24"/>
          <w:szCs w:val="24"/>
          <w:highlight w:val="none"/>
        </w:rPr>
        <w:t xml:space="preserve">质疑函制作说明：</w:t>
      </w:r>
      <w:r/>
    </w:p>
    <w:p>
      <w:pPr>
        <w:ind w:firstLine="480"/>
        <w:jc w:val="left"/>
        <w:spacing w:line="400" w:lineRule="exact"/>
        <w:widowControl/>
        <w:rPr>
          <w:sz w:val="24"/>
          <w:szCs w:val="24"/>
          <w:highlight w:val="none"/>
        </w:rPr>
      </w:pPr>
      <w:r>
        <w:rPr>
          <w:rFonts w:hint="eastAsia"/>
          <w:sz w:val="24"/>
          <w:szCs w:val="24"/>
          <w:highlight w:val="none"/>
        </w:rPr>
        <w:t xml:space="preserve">1.投标人提出质疑时，应提交质疑函和必要的证明材料。</w:t>
      </w:r>
      <w:r/>
    </w:p>
    <w:p>
      <w:pPr>
        <w:ind w:firstLine="480"/>
        <w:jc w:val="left"/>
        <w:spacing w:line="400" w:lineRule="exact"/>
        <w:widowControl/>
        <w:rPr>
          <w:sz w:val="24"/>
          <w:szCs w:val="24"/>
          <w:highlight w:val="none"/>
        </w:rPr>
      </w:pPr>
      <w:r>
        <w:rPr>
          <w:rFonts w:hint="eastAsia"/>
          <w:sz w:val="24"/>
          <w:szCs w:val="24"/>
          <w:highlight w:val="none"/>
        </w:rPr>
        <w:t xml:space="preserve">2.质疑投标人若委托代理人进行质疑的，质疑函应按要求列明“授权代表”的有关内容，并在附件中提交由质疑</w:t>
      </w:r>
      <w:r>
        <w:rPr>
          <w:rFonts w:hint="eastAsia" w:cs="宋体"/>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highlight w:val="none"/>
        </w:rPr>
      </w:pPr>
      <w:r>
        <w:rPr>
          <w:rFonts w:hint="eastAsia"/>
          <w:sz w:val="24"/>
          <w:szCs w:val="24"/>
          <w:highlight w:val="none"/>
        </w:rPr>
        <w:t xml:space="preserve">3.质疑投标人若对项目的某一分包进行质疑，质疑函中应列明具体分包号。</w:t>
      </w:r>
      <w:r/>
    </w:p>
    <w:p>
      <w:pPr>
        <w:ind w:firstLine="480"/>
        <w:jc w:val="left"/>
        <w:spacing w:line="400" w:lineRule="exact"/>
        <w:widowControl/>
        <w:rPr>
          <w:sz w:val="24"/>
          <w:szCs w:val="24"/>
          <w:highlight w:val="none"/>
        </w:rPr>
      </w:pPr>
      <w:r>
        <w:rPr>
          <w:rFonts w:hint="eastAsia"/>
          <w:sz w:val="24"/>
          <w:szCs w:val="24"/>
          <w:highlight w:val="none"/>
        </w:rPr>
        <w:t xml:space="preserve">4.质疑函的质疑事项应具体、明确，并有必要的事实依据和法律依据。</w:t>
      </w:r>
      <w:r/>
    </w:p>
    <w:p>
      <w:pPr>
        <w:ind w:firstLine="480"/>
        <w:jc w:val="left"/>
        <w:spacing w:line="400" w:lineRule="exact"/>
        <w:widowControl/>
        <w:rPr>
          <w:sz w:val="24"/>
          <w:szCs w:val="24"/>
          <w:highlight w:val="none"/>
        </w:rPr>
      </w:pPr>
      <w:r>
        <w:rPr>
          <w:rFonts w:hint="eastAsia"/>
          <w:sz w:val="24"/>
          <w:szCs w:val="24"/>
          <w:highlight w:val="none"/>
        </w:rPr>
        <w:t xml:space="preserve">5.质疑函的质疑请求应与质疑事项相关。</w:t>
      </w:r>
      <w:r/>
    </w:p>
    <w:p>
      <w:pPr>
        <w:ind w:firstLine="480"/>
        <w:jc w:val="left"/>
        <w:spacing w:line="400" w:lineRule="exact"/>
        <w:widowControl/>
        <w:rPr>
          <w:sz w:val="24"/>
          <w:szCs w:val="24"/>
          <w:highlight w:val="none"/>
        </w:rPr>
      </w:pPr>
      <w:r>
        <w:rPr>
          <w:rFonts w:hint="eastAsia"/>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1248"/>
        <w:rPr>
          <w:sz w:val="24"/>
          <w:szCs w:val="24"/>
          <w:highlight w:val="none"/>
        </w:rPr>
      </w:pPr>
      <w:r>
        <w:rPr>
          <w:sz w:val="24"/>
          <w:szCs w:val="24"/>
          <w:highlight w:val="none"/>
        </w:rPr>
      </w:r>
      <w:r/>
    </w:p>
    <w:p>
      <w:pPr>
        <w:pStyle w:val="1248"/>
        <w:rPr>
          <w:sz w:val="24"/>
          <w:szCs w:val="24"/>
          <w:highlight w:val="none"/>
        </w:rPr>
      </w:pPr>
      <w:r>
        <w:rPr>
          <w:sz w:val="24"/>
          <w:szCs w:val="24"/>
          <w:highlight w:val="none"/>
        </w:rPr>
      </w:r>
      <w:r/>
    </w:p>
    <w:p>
      <w:pPr>
        <w:rPr>
          <w:rFonts w:ascii="Times New Roman" w:hAnsi="Times New Roman"/>
          <w:caps w:val="0"/>
          <w:color w:val="auto"/>
        </w:rPr>
      </w:pPr>
      <w:r>
        <w:rPr>
          <w:rFonts w:ascii="Times New Roman" w:hAnsi="Times New Roman"/>
          <w:caps w:val="0"/>
          <w:color w:val="auto"/>
        </w:rPr>
      </w:r>
      <w:r/>
    </w:p>
    <w:p>
      <w:pPr>
        <w:pStyle w:val="1248"/>
        <w:ind w:left="0" w:firstLine="0"/>
        <w:rPr>
          <w:sz w:val="24"/>
          <w:szCs w:val="24"/>
          <w:highlight w:val="none"/>
        </w:rPr>
      </w:pPr>
      <w:r>
        <w:rPr>
          <w:sz w:val="24"/>
          <w:szCs w:val="24"/>
          <w:highlight w:val="none"/>
        </w:rPr>
      </w:r>
      <w:r/>
    </w:p>
    <w:sectPr>
      <w:footerReference w:type="default" r:id="rId14"/>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-13335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3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1.1pt;mso-position-vertical:absolute;width:60.7pt;height:27.0pt;mso-wrap-distance-left:9.0pt;mso-wrap-distance-top:0.0pt;mso-wrap-distance-right:9.0pt;mso-wrap-distance-bottom:0.0pt;visibility:visible;" filled="f" stroked="f">
              <v:textbox inset="0,0,0,0">
                <w:txbxContent>
                  <w:p>
                    <w:pPr>
                      <w:pStyle w:val="93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12750" cy="13144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12493" cy="131433"/>
                      </a:xfrm>
                      <a:prstGeom prst="rect">
                        <a:avLst/>
                      </a:prstGeom>
                      <a:noFill/>
                      <a:ln>
                        <a:noFill/>
                      </a:ln>
                      <a:effectLst/>
                    </wps:spPr>
                    <wps:txbx>
                      <w:txbxContent>
                        <w:p>
                          <w:pPr>
                            <w:pStyle w:val="849"/>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wrap="square" lIns="0" tIns="0" rIns="0" bIns="0">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2.5pt;height:10.3pt;mso-wrap-distance-left:9.0pt;mso-wrap-distance-top:0.0pt;mso-wrap-distance-right:9.0pt;mso-wrap-distance-bottom:0.0pt;visibility:visible;" filled="f" stroked="f">
              <v:textbox inset="0,0,0,0">
                <w:txbxContent>
                  <w:p>
                    <w:pPr>
                      <w:pStyle w:val="849"/>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-13335</wp:posOffset>
              </wp:positionV>
              <wp:extent cx="742950" cy="2794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3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27</w:t>
                          </w:r>
                          <w:r>
                            <w:rPr>
                              <w:rFonts w:ascii="Times New Roman" w:hAnsi="Times New Roman"/>
                              <w:sz w:val="24"/>
                              <w:szCs w:val="24"/>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1.1pt;mso-position-vertical:absolute;width:58.5pt;height:22.0pt;mso-wrap-distance-left:9.0pt;mso-wrap-distance-top:0.0pt;mso-wrap-distance-right:9.0pt;mso-wrap-distance-bottom:0.0pt;visibility:visible;" filled="f" stroked="f">
              <v:textbox inset="0,0,0,0">
                <w:txbxContent>
                  <w:p>
                    <w:pPr>
                      <w:pStyle w:val="93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27</w:t>
                    </w:r>
                    <w:r>
                      <w:rPr>
                        <w:rFonts w:ascii="Times New Roman" w:hAnsi="Times New Roman"/>
                        <w:sz w:val="24"/>
                        <w:szCs w:val="24"/>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3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93"/>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78"/>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link w:val="1332"/>
    <w:uiPriority w:val="0"/>
    <w:qFormat/>
    <w:pPr>
      <w:jc w:val="both"/>
      <w:widowControl w:val="off"/>
    </w:pPr>
    <w:rPr>
      <w:rFonts w:hint="default" w:ascii="Calibri" w:hAnsi="Calibri" w:eastAsia="宋体" w:cs="Times New Roman"/>
      <w:sz w:val="21"/>
      <w:szCs w:val="22"/>
      <w:lang w:val="en-US" w:eastAsia="zh-CN" w:bidi="ar-SA"/>
    </w:rPr>
  </w:style>
  <w:style w:type="paragraph" w:styleId="829">
    <w:name w:val="Heading 1"/>
    <w:basedOn w:val="828"/>
    <w:next w:val="82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uiPriority w:val="9"/>
    <w:unhideWhenUsed/>
    <w:qFormat/>
    <w:pPr>
      <w:keepLines/>
      <w:keepNext/>
      <w:spacing w:before="320" w:after="200"/>
      <w:outlineLvl w:val="4"/>
    </w:pPr>
    <w:rPr>
      <w:rFonts w:ascii="Arial" w:hAnsi="Arial" w:eastAsia="Arial" w:cs="Arial"/>
      <w:b/>
      <w:bCs/>
      <w:sz w:val="24"/>
      <w:szCs w:val="24"/>
    </w:rPr>
  </w:style>
  <w:style w:type="paragraph" w:styleId="834">
    <w:name w:val="Heading 6"/>
    <w:basedOn w:val="828"/>
    <w:next w:val="828"/>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uiPriority w:val="9"/>
    <w:unhideWhenUsed/>
    <w:qFormat/>
    <w:pPr>
      <w:keepLines/>
      <w:keepNext/>
      <w:spacing w:before="320" w:after="200"/>
      <w:outlineLvl w:val="8"/>
    </w:pPr>
    <w:rPr>
      <w:rFonts w:ascii="Arial" w:hAnsi="Arial" w:eastAsia="Arial" w:cs="Arial"/>
      <w:i/>
      <w:iCs/>
      <w:sz w:val="21"/>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right="0" w:firstLine="0"/>
      <w:spacing w:after="57"/>
    </w:pPr>
  </w:style>
  <w:style w:type="paragraph" w:styleId="841">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2">
    <w:name w:val="Body Text"/>
    <w:basedOn w:val="828"/>
    <w:next w:val="828"/>
    <w:uiPriority w:val="0"/>
    <w:qFormat/>
    <w:rPr>
      <w:rFonts w:ascii="楷体_GB2312" w:hAnsi="Arial" w:eastAsia="楷体_GB2312"/>
      <w:sz w:val="28"/>
      <w:szCs w:val="28"/>
    </w:rPr>
  </w:style>
  <w:style w:type="paragraph" w:styleId="843">
    <w:name w:val="Body Text Indent"/>
    <w:basedOn w:val="828"/>
    <w:next w:val="828"/>
    <w:uiPriority w:val="0"/>
    <w:qFormat/>
    <w:pPr>
      <w:ind w:firstLine="645"/>
    </w:pPr>
    <w:rPr>
      <w:rFonts w:ascii="楷体_GB2312" w:eastAsia="楷体_GB2312"/>
      <w:sz w:val="32"/>
      <w:szCs w:val="32"/>
    </w:rPr>
  </w:style>
  <w:style w:type="paragraph" w:styleId="844">
    <w:name w:val="toc 5"/>
    <w:basedOn w:val="828"/>
    <w:next w:val="828"/>
    <w:uiPriority w:val="39"/>
    <w:unhideWhenUsed/>
    <w:qFormat/>
    <w:pPr>
      <w:ind w:left="1134" w:right="0" w:firstLine="0"/>
      <w:spacing w:after="57"/>
    </w:pPr>
  </w:style>
  <w:style w:type="paragraph" w:styleId="845">
    <w:name w:val="toc 3"/>
    <w:basedOn w:val="828"/>
    <w:next w:val="828"/>
    <w:uiPriority w:val="39"/>
    <w:unhideWhenUsed/>
    <w:qFormat/>
    <w:pPr>
      <w:ind w:left="567" w:right="0" w:firstLine="0"/>
      <w:spacing w:after="57"/>
    </w:pPr>
  </w:style>
  <w:style w:type="paragraph" w:styleId="846">
    <w:name w:val="Plain Text"/>
    <w:basedOn w:val="828"/>
    <w:uiPriority w:val="0"/>
    <w:qFormat/>
    <w:rPr>
      <w:rFonts w:ascii="宋体" w:hAnsi="Courier New" w:cs="Courier New"/>
    </w:rPr>
  </w:style>
  <w:style w:type="paragraph" w:styleId="847">
    <w:name w:val="toc 8"/>
    <w:basedOn w:val="828"/>
    <w:next w:val="828"/>
    <w:uiPriority w:val="39"/>
    <w:unhideWhenUsed/>
    <w:qFormat/>
    <w:pPr>
      <w:ind w:left="1984" w:right="0" w:firstLine="0"/>
      <w:spacing w:after="57"/>
    </w:pPr>
  </w:style>
  <w:style w:type="paragraph" w:styleId="848">
    <w:name w:val="endnote text"/>
    <w:basedOn w:val="828"/>
    <w:link w:val="1335"/>
    <w:uiPriority w:val="99"/>
    <w:semiHidden/>
    <w:unhideWhenUsed/>
    <w:qFormat/>
    <w:pPr>
      <w:spacing w:after="0" w:line="240" w:lineRule="auto"/>
    </w:pPr>
    <w:rPr>
      <w:sz w:val="20"/>
    </w:rPr>
  </w:style>
  <w:style w:type="paragraph" w:styleId="849">
    <w:name w:val="Footer"/>
    <w:basedOn w:val="828"/>
    <w:uiPriority w:val="99"/>
    <w:unhideWhenUsed/>
    <w:qFormat/>
    <w:pPr>
      <w:spacing w:after="0" w:line="240" w:lineRule="auto"/>
      <w:tabs>
        <w:tab w:val="center" w:pos="7143" w:leader="none"/>
        <w:tab w:val="right" w:pos="14287" w:leader="none"/>
      </w:tabs>
    </w:pPr>
  </w:style>
  <w:style w:type="paragraph" w:styleId="850">
    <w:name w:val="Header"/>
    <w:basedOn w:val="828"/>
    <w:uiPriority w:val="99"/>
    <w:unhideWhenUsed/>
    <w:qFormat/>
    <w:pPr>
      <w:spacing w:after="0" w:line="240" w:lineRule="auto"/>
      <w:tabs>
        <w:tab w:val="center" w:pos="7143" w:leader="none"/>
        <w:tab w:val="right" w:pos="14287" w:leader="none"/>
      </w:tabs>
    </w:pPr>
  </w:style>
  <w:style w:type="paragraph" w:styleId="851">
    <w:name w:val="toc 1"/>
    <w:basedOn w:val="828"/>
    <w:next w:val="828"/>
    <w:uiPriority w:val="39"/>
    <w:unhideWhenUsed/>
    <w:qFormat/>
    <w:pPr>
      <w:ind w:left="0" w:right="0" w:firstLine="0"/>
      <w:spacing w:after="57"/>
    </w:pPr>
  </w:style>
  <w:style w:type="paragraph" w:styleId="852">
    <w:name w:val="toc 4"/>
    <w:basedOn w:val="828"/>
    <w:next w:val="828"/>
    <w:uiPriority w:val="39"/>
    <w:unhideWhenUsed/>
    <w:qFormat/>
    <w:pPr>
      <w:ind w:left="850" w:right="0" w:firstLine="0"/>
      <w:spacing w:after="57"/>
    </w:pPr>
  </w:style>
  <w:style w:type="paragraph" w:styleId="853">
    <w:name w:val="Subtitle"/>
    <w:basedOn w:val="828"/>
    <w:next w:val="828"/>
    <w:uiPriority w:val="11"/>
    <w:qFormat/>
    <w:pPr>
      <w:spacing w:before="200" w:after="200"/>
    </w:pPr>
    <w:rPr>
      <w:sz w:val="24"/>
      <w:szCs w:val="24"/>
    </w:rPr>
  </w:style>
  <w:style w:type="paragraph" w:styleId="854">
    <w:name w:val="footnote text"/>
    <w:basedOn w:val="828"/>
    <w:uiPriority w:val="99"/>
    <w:semiHidden/>
    <w:unhideWhenUsed/>
    <w:qFormat/>
    <w:pPr>
      <w:spacing w:after="40" w:line="240" w:lineRule="auto"/>
    </w:pPr>
    <w:rPr>
      <w:sz w:val="18"/>
    </w:rPr>
  </w:style>
  <w:style w:type="paragraph" w:styleId="855">
    <w:name w:val="toc 6"/>
    <w:basedOn w:val="828"/>
    <w:next w:val="828"/>
    <w:uiPriority w:val="39"/>
    <w:unhideWhenUsed/>
    <w:qFormat/>
    <w:pPr>
      <w:ind w:left="1417" w:right="0" w:firstLine="0"/>
      <w:spacing w:after="57"/>
    </w:pPr>
  </w:style>
  <w:style w:type="paragraph" w:styleId="856">
    <w:name w:val="table of figures"/>
    <w:basedOn w:val="828"/>
    <w:next w:val="828"/>
    <w:uiPriority w:val="99"/>
    <w:unhideWhenUsed/>
    <w:qFormat/>
    <w:pPr>
      <w:spacing w:after="0" w:afterAutospacing="0"/>
    </w:pPr>
  </w:style>
  <w:style w:type="paragraph" w:styleId="857">
    <w:name w:val="toc 2"/>
    <w:basedOn w:val="828"/>
    <w:next w:val="828"/>
    <w:uiPriority w:val="39"/>
    <w:unhideWhenUsed/>
    <w:qFormat/>
    <w:pPr>
      <w:ind w:left="283" w:right="0" w:firstLine="0"/>
      <w:spacing w:after="57"/>
    </w:pPr>
  </w:style>
  <w:style w:type="paragraph" w:styleId="858">
    <w:name w:val="toc 9"/>
    <w:basedOn w:val="828"/>
    <w:next w:val="828"/>
    <w:uiPriority w:val="39"/>
    <w:unhideWhenUsed/>
    <w:qFormat/>
    <w:pPr>
      <w:ind w:left="2268" w:right="0" w:firstLine="0"/>
      <w:spacing w:after="57"/>
    </w:pPr>
  </w:style>
  <w:style w:type="paragraph" w:styleId="859">
    <w:name w:val="Body Text 2"/>
    <w:basedOn w:val="828"/>
    <w:uiPriority w:val="0"/>
    <w:qFormat/>
    <w:pPr>
      <w:jc w:val="center"/>
      <w:widowControl/>
    </w:pPr>
    <w:rPr>
      <w:rFonts w:ascii="楷体_GB2312" w:eastAsia="楷体_GB2312"/>
      <w:sz w:val="28"/>
      <w:szCs w:val="28"/>
    </w:rPr>
  </w:style>
  <w:style w:type="paragraph" w:styleId="860">
    <w:name w:val="Normal (Web)"/>
    <w:basedOn w:val="828"/>
    <w:uiPriority w:val="0"/>
    <w:qFormat/>
    <w:pPr>
      <w:ind w:left="0" w:right="0"/>
      <w:jc w:val="left"/>
      <w:spacing w:before="0" w:beforeAutospacing="1" w:after="0" w:afterAutospacing="1"/>
    </w:pPr>
    <w:rPr>
      <w:sz w:val="24"/>
      <w:lang w:val="en-US" w:eastAsia="zh-CN" w:bidi="ar"/>
    </w:rPr>
  </w:style>
  <w:style w:type="paragraph" w:styleId="861">
    <w:name w:val="Title"/>
    <w:basedOn w:val="828"/>
    <w:next w:val="828"/>
    <w:uiPriority w:val="10"/>
    <w:qFormat/>
    <w:pPr>
      <w:contextualSpacing/>
      <w:spacing w:before="300" w:after="200"/>
    </w:pPr>
    <w:rPr>
      <w:sz w:val="48"/>
      <w:szCs w:val="48"/>
    </w:rPr>
  </w:style>
  <w:style w:type="table" w:styleId="8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endnote reference"/>
    <w:uiPriority w:val="99"/>
    <w:semiHidden/>
    <w:unhideWhenUsed/>
    <w:qFormat/>
    <w:rPr>
      <w:vertAlign w:val="superscript"/>
    </w:rPr>
  </w:style>
  <w:style w:type="character" w:styleId="864">
    <w:name w:val="Hyperlink"/>
    <w:uiPriority w:val="99"/>
    <w:unhideWhenUsed/>
    <w:qFormat/>
    <w:rPr>
      <w:color w:val="0000ff" w:themeColor="hyperlink"/>
      <w:u w:val="single"/>
      <w14:textFill>
        <w14:solidFill>
          <w14:schemeClr w14:val="hlink"/>
        </w14:solidFill>
      </w14:textFill>
    </w:rPr>
  </w:style>
  <w:style w:type="character" w:styleId="865">
    <w:name w:val="footnote reference"/>
    <w:uiPriority w:val="99"/>
    <w:unhideWhenUsed/>
    <w:qFormat/>
    <w:rPr>
      <w:vertAlign w:val="superscript"/>
    </w:rPr>
  </w:style>
  <w:style w:type="paragraph" w:styleId="866" w:customStyle="1">
    <w:name w:val="正文首行缩进 21"/>
    <w:basedOn w:val="867"/>
    <w:next w:val="828"/>
    <w:uiPriority w:val="0"/>
    <w:qFormat/>
    <w:pPr>
      <w:ind w:firstLine="420"/>
      <w:spacing w:line="360" w:lineRule="auto"/>
    </w:pPr>
    <w:rPr>
      <w:rFonts w:ascii="宋体" w:hAnsi="宋体" w:eastAsia="宋体"/>
      <w:sz w:val="21"/>
      <w:szCs w:val="20"/>
    </w:rPr>
  </w:style>
  <w:style w:type="paragraph" w:styleId="867" w:customStyle="1">
    <w:name w:val="正文文本缩进1"/>
    <w:basedOn w:val="828"/>
    <w:uiPriority w:val="0"/>
    <w:qFormat/>
    <w:pPr>
      <w:ind w:firstLine="645"/>
    </w:pPr>
    <w:rPr>
      <w:rFonts w:ascii="楷体_GB2312" w:eastAsia="楷体_GB2312"/>
      <w:sz w:val="32"/>
      <w:szCs w:val="32"/>
    </w:rPr>
  </w:style>
  <w:style w:type="paragraph" w:styleId="868" w:customStyle="1">
    <w:name w:val="标题二、"/>
    <w:basedOn w:val="828"/>
    <w:uiPriority w:val="99"/>
    <w:qFormat/>
    <w:pPr>
      <w:ind w:firstLine="200"/>
      <w:spacing w:line="360" w:lineRule="auto"/>
      <w:outlineLvl w:val="2"/>
    </w:pPr>
    <w:rPr>
      <w:rFonts w:ascii="宋体" w:hAnsi="宋体"/>
      <w:b/>
    </w:rPr>
  </w:style>
  <w:style w:type="paragraph" w:styleId="869">
    <w:name w:val="List Paragraph"/>
    <w:basedOn w:val="828"/>
    <w:uiPriority w:val="34"/>
    <w:qFormat/>
    <w:pPr>
      <w:contextualSpacing/>
      <w:ind w:left="720"/>
    </w:pPr>
  </w:style>
  <w:style w:type="paragraph" w:styleId="870">
    <w:name w:val="No Spacing"/>
    <w:uiPriority w:val="1"/>
    <w:qFormat/>
    <w:pPr>
      <w:spacing w:before="0" w:after="0" w:line="240" w:lineRule="auto"/>
    </w:pPr>
    <w:rPr>
      <w:rFonts w:hint="default" w:ascii="Times New Roman" w:hAnsi="Times New Roman" w:eastAsia="宋体" w:cs="Times New Roman"/>
    </w:rPr>
  </w:style>
  <w:style w:type="paragraph" w:styleId="871">
    <w:name w:val="Quote"/>
    <w:basedOn w:val="828"/>
    <w:next w:val="828"/>
    <w:uiPriority w:val="29"/>
    <w:qFormat/>
    <w:pPr>
      <w:ind w:left="720" w:right="720"/>
    </w:pPr>
    <w:rPr>
      <w:i/>
    </w:rPr>
  </w:style>
  <w:style w:type="paragraph" w:styleId="872">
    <w:name w:val="Intense Quote"/>
    <w:basedOn w:val="828"/>
    <w:next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3" w:customStyle="1">
    <w:name w:val="标题 11"/>
    <w:basedOn w:val="828"/>
    <w:next w:val="828"/>
    <w:link w:val="894"/>
    <w:uiPriority w:val="0"/>
    <w:qFormat/>
    <w:pPr>
      <w:keepLines/>
      <w:keepNext/>
      <w:spacing w:before="480" w:after="200"/>
      <w:outlineLvl w:val="0"/>
    </w:pPr>
    <w:rPr>
      <w:rFonts w:ascii="Arial" w:hAnsi="Arial" w:eastAsia="Arial" w:cs="Arial"/>
      <w:sz w:val="40"/>
      <w:szCs w:val="40"/>
    </w:rPr>
  </w:style>
  <w:style w:type="paragraph" w:styleId="874" w:customStyle="1">
    <w:name w:val="标题 211"/>
    <w:basedOn w:val="828"/>
    <w:next w:val="875"/>
    <w:link w:val="895"/>
    <w:uiPriority w:val="0"/>
    <w:qFormat/>
    <w:pPr>
      <w:keepLines/>
      <w:keepNext/>
      <w:spacing w:before="260" w:after="260" w:line="413" w:lineRule="auto"/>
      <w:outlineLvl w:val="1"/>
    </w:pPr>
    <w:rPr>
      <w:rFonts w:ascii="Arial" w:hAnsi="Arial" w:eastAsia="黑体"/>
      <w:b/>
      <w:sz w:val="32"/>
      <w:szCs w:val="20"/>
    </w:rPr>
  </w:style>
  <w:style w:type="paragraph" w:styleId="875" w:customStyle="1">
    <w:name w:val="正文缩进11"/>
    <w:basedOn w:val="828"/>
    <w:link w:val="896"/>
    <w:uiPriority w:val="0"/>
    <w:qFormat/>
    <w:pPr>
      <w:ind w:firstLine="420"/>
    </w:pPr>
    <w:rPr>
      <w:rFonts w:ascii="宋体"/>
      <w:color w:val="000000"/>
      <w:sz w:val="24"/>
      <w:szCs w:val="20"/>
    </w:rPr>
  </w:style>
  <w:style w:type="paragraph" w:styleId="876" w:customStyle="1">
    <w:name w:val="标题 311"/>
    <w:basedOn w:val="877"/>
    <w:next w:val="878"/>
    <w:link w:val="897"/>
    <w:uiPriority w:val="0"/>
    <w:qFormat/>
    <w:pPr>
      <w:keepLines/>
      <w:keepNext/>
      <w:spacing w:before="320" w:after="200"/>
      <w:outlineLvl w:val="2"/>
    </w:pPr>
    <w:rPr>
      <w:rFonts w:ascii="Arial" w:hAnsi="Arial" w:eastAsia="Arial" w:cs="Arial"/>
      <w:sz w:val="30"/>
      <w:szCs w:val="30"/>
    </w:rPr>
  </w:style>
  <w:style w:type="paragraph" w:styleId="877" w:customStyle="1">
    <w:name w:val="Normal1"/>
    <w:next w:val="876"/>
    <w:uiPriority w:val="0"/>
    <w:qFormat/>
    <w:pPr>
      <w:jc w:val="both"/>
      <w:widowControl w:val="off"/>
    </w:pPr>
    <w:rPr>
      <w:rFonts w:hint="default" w:ascii="Calibri" w:hAnsi="Calibri" w:eastAsia="宋体" w:cs="Times New Roman"/>
      <w:sz w:val="21"/>
      <w:szCs w:val="22"/>
      <w:lang w:val="en-US" w:eastAsia="zh-CN" w:bidi="ar-SA"/>
    </w:rPr>
  </w:style>
  <w:style w:type="paragraph" w:styleId="878" w:customStyle="1">
    <w:name w:val="Normal_19"/>
    <w:next w:val="879"/>
    <w:uiPriority w:val="0"/>
    <w:qFormat/>
    <w:rPr>
      <w:rFonts w:hint="default" w:ascii="黑体" w:hAnsi="黑体" w:eastAsia="黑体" w:cs="黑体"/>
      <w:b/>
      <w:sz w:val="32"/>
      <w:szCs w:val="24"/>
      <w:lang w:val="en-US" w:eastAsia="zh-CN" w:bidi="ar-SA"/>
    </w:rPr>
  </w:style>
  <w:style w:type="paragraph" w:styleId="879" w:customStyle="1">
    <w:name w:val="正文1_0"/>
    <w:basedOn w:val="880"/>
    <w:next w:val="881"/>
    <w:uiPriority w:val="0"/>
    <w:qFormat/>
    <w:pPr>
      <w:ind w:left="357" w:firstLine="420"/>
      <w:jc w:val="left"/>
      <w:spacing w:line="360" w:lineRule="auto"/>
      <w:widowControl/>
    </w:pPr>
    <w:rPr>
      <w:rFonts w:cs="Arial"/>
      <w:szCs w:val="20"/>
    </w:rPr>
  </w:style>
  <w:style w:type="paragraph" w:styleId="88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881" w:customStyle="1">
    <w:name w:val="UserStyle_0"/>
    <w:basedOn w:val="882"/>
    <w:uiPriority w:val="0"/>
    <w:qFormat/>
    <w:pPr>
      <w:ind w:left="420"/>
      <w:spacing w:after="120"/>
    </w:pPr>
  </w:style>
  <w:style w:type="paragraph" w:styleId="882" w:customStyle="1">
    <w:name w:val="正文2"/>
    <w:basedOn w:val="828"/>
    <w:next w:val="881"/>
    <w:uiPriority w:val="0"/>
    <w:qFormat/>
    <w:pPr>
      <w:ind w:firstLine="510"/>
      <w:spacing w:before="156" w:line="360" w:lineRule="auto"/>
    </w:pPr>
    <w:rPr>
      <w:sz w:val="24"/>
      <w:szCs w:val="20"/>
    </w:rPr>
  </w:style>
  <w:style w:type="paragraph" w:styleId="883" w:customStyle="1">
    <w:name w:val="Normal11"/>
    <w:next w:val="884"/>
    <w:uiPriority w:val="0"/>
    <w:qFormat/>
    <w:pPr>
      <w:jc w:val="both"/>
      <w:widowControl w:val="off"/>
    </w:pPr>
    <w:rPr>
      <w:rFonts w:hint="default" w:ascii="Times New Roman" w:hAnsi="Times New Roman" w:eastAsia="宋体" w:cs="Times New Roman"/>
      <w:szCs w:val="21"/>
      <w:lang w:val="en-US" w:eastAsia="zh-CN" w:bidi="ar-SA"/>
    </w:rPr>
  </w:style>
  <w:style w:type="paragraph" w:styleId="884" w:customStyle="1">
    <w:name w:val="Body Text First Indent1"/>
    <w:basedOn w:val="885"/>
    <w:uiPriority w:val="99"/>
    <w:unhideWhenUsed/>
    <w:qFormat/>
    <w:pPr>
      <w:ind w:firstLine="420"/>
    </w:pPr>
  </w:style>
  <w:style w:type="paragraph" w:styleId="885" w:customStyle="1">
    <w:name w:val="Body Text1"/>
    <w:basedOn w:val="883"/>
    <w:uiPriority w:val="99"/>
    <w:unhideWhenUsed/>
    <w:qFormat/>
    <w:pPr>
      <w:spacing w:after="120"/>
    </w:pPr>
  </w:style>
  <w:style w:type="paragraph" w:styleId="886" w:customStyle="1">
    <w:name w:val="标题 411"/>
    <w:basedOn w:val="828"/>
    <w:next w:val="828"/>
    <w:link w:val="898"/>
    <w:uiPriority w:val="0"/>
    <w:qFormat/>
    <w:pPr>
      <w:jc w:val="center"/>
      <w:keepNext/>
      <w:outlineLvl w:val="3"/>
    </w:pPr>
    <w:rPr>
      <w:rFonts w:eastAsia="新宋体"/>
      <w:sz w:val="30"/>
      <w:szCs w:val="21"/>
    </w:rPr>
  </w:style>
  <w:style w:type="paragraph" w:styleId="887" w:customStyle="1">
    <w:name w:val="标题 51"/>
    <w:basedOn w:val="828"/>
    <w:next w:val="828"/>
    <w:link w:val="899"/>
    <w:uiPriority w:val="0"/>
    <w:qFormat/>
    <w:pPr>
      <w:keepLines/>
      <w:keepNext/>
      <w:spacing w:before="320" w:after="200"/>
      <w:outlineLvl w:val="4"/>
    </w:pPr>
    <w:rPr>
      <w:rFonts w:ascii="Arial" w:hAnsi="Arial" w:eastAsia="Arial" w:cs="Arial"/>
      <w:b/>
      <w:bCs/>
      <w:sz w:val="24"/>
      <w:szCs w:val="24"/>
    </w:rPr>
  </w:style>
  <w:style w:type="paragraph" w:styleId="888" w:customStyle="1">
    <w:name w:val="标题 61"/>
    <w:basedOn w:val="828"/>
    <w:next w:val="828"/>
    <w:link w:val="900"/>
    <w:uiPriority w:val="0"/>
    <w:qFormat/>
    <w:pPr>
      <w:keepLines/>
      <w:keepNext/>
      <w:spacing w:before="320" w:after="200"/>
      <w:outlineLvl w:val="5"/>
    </w:pPr>
    <w:rPr>
      <w:rFonts w:ascii="Arial" w:hAnsi="Arial" w:eastAsia="Arial" w:cs="Arial"/>
      <w:b/>
      <w:bCs/>
      <w:sz w:val="22"/>
    </w:rPr>
  </w:style>
  <w:style w:type="paragraph" w:styleId="889" w:customStyle="1">
    <w:name w:val="标题 71"/>
    <w:basedOn w:val="828"/>
    <w:next w:val="828"/>
    <w:link w:val="901"/>
    <w:uiPriority w:val="0"/>
    <w:qFormat/>
    <w:pPr>
      <w:keepLines/>
      <w:keepNext/>
      <w:spacing w:before="320" w:after="200"/>
      <w:outlineLvl w:val="6"/>
    </w:pPr>
    <w:rPr>
      <w:rFonts w:ascii="Arial" w:hAnsi="Arial" w:eastAsia="Arial" w:cs="Arial"/>
      <w:b/>
      <w:bCs/>
      <w:i/>
      <w:iCs/>
      <w:sz w:val="22"/>
    </w:rPr>
  </w:style>
  <w:style w:type="paragraph" w:styleId="890" w:customStyle="1">
    <w:name w:val="标题 81"/>
    <w:basedOn w:val="828"/>
    <w:next w:val="828"/>
    <w:link w:val="902"/>
    <w:uiPriority w:val="0"/>
    <w:qFormat/>
    <w:pPr>
      <w:keepLines/>
      <w:keepNext/>
      <w:spacing w:before="320" w:after="200"/>
      <w:outlineLvl w:val="7"/>
    </w:pPr>
    <w:rPr>
      <w:rFonts w:ascii="Arial" w:hAnsi="Arial" w:eastAsia="Arial" w:cs="Arial"/>
      <w:i/>
      <w:iCs/>
      <w:sz w:val="22"/>
    </w:rPr>
  </w:style>
  <w:style w:type="paragraph" w:styleId="891" w:customStyle="1">
    <w:name w:val="标题 91"/>
    <w:basedOn w:val="828"/>
    <w:next w:val="828"/>
    <w:link w:val="903"/>
    <w:uiPriority w:val="0"/>
    <w:qFormat/>
    <w:pPr>
      <w:keepLines/>
      <w:keepNext/>
      <w:spacing w:before="320" w:after="200"/>
      <w:outlineLvl w:val="8"/>
    </w:pPr>
    <w:rPr>
      <w:rFonts w:ascii="Arial" w:hAnsi="Arial" w:eastAsia="Arial" w:cs="Arial"/>
      <w:i/>
      <w:iCs/>
      <w:szCs w:val="21"/>
    </w:rPr>
  </w:style>
  <w:style w:type="character" w:styleId="892" w:customStyle="1">
    <w:name w:val="默认段落字体1"/>
    <w:link w:val="828"/>
    <w:uiPriority w:val="1"/>
    <w:unhideWhenUsed/>
    <w:qFormat/>
  </w:style>
  <w:style w:type="table" w:styleId="893" w:customStyle="1">
    <w:name w:val="普通表格1"/>
    <w:uiPriority w:val="99"/>
    <w:unhideWhenUsed/>
    <w:qFormat/>
    <w:tblPr/>
  </w:style>
  <w:style w:type="character" w:styleId="894" w:customStyle="1">
    <w:name w:val="标题 1 字符"/>
    <w:link w:val="873"/>
    <w:uiPriority w:val="0"/>
    <w:qFormat/>
    <w:rPr>
      <w:rFonts w:ascii="Arial" w:hAnsi="Arial" w:eastAsia="Arial" w:cs="Arial"/>
      <w:sz w:val="40"/>
      <w:szCs w:val="40"/>
    </w:rPr>
  </w:style>
  <w:style w:type="character" w:styleId="895" w:customStyle="1">
    <w:name w:val="标题 2 字符"/>
    <w:link w:val="874"/>
    <w:uiPriority w:val="0"/>
    <w:qFormat/>
    <w:rPr>
      <w:rFonts w:ascii="Arial" w:hAnsi="Arial" w:eastAsia="Arial" w:cs="Arial"/>
      <w:sz w:val="34"/>
    </w:rPr>
  </w:style>
  <w:style w:type="character" w:styleId="896" w:customStyle="1">
    <w:name w:val="正文缩进 字符"/>
    <w:link w:val="875"/>
    <w:uiPriority w:val="0"/>
    <w:qFormat/>
    <w:rPr>
      <w:rFonts w:ascii="宋体" w:hAnsi="Calibri"/>
      <w:color w:val="000000"/>
      <w:sz w:val="24"/>
    </w:rPr>
  </w:style>
  <w:style w:type="character" w:styleId="897" w:customStyle="1">
    <w:name w:val="标题 3 字符"/>
    <w:link w:val="876"/>
    <w:uiPriority w:val="0"/>
    <w:qFormat/>
    <w:rPr>
      <w:rFonts w:ascii="Arial" w:hAnsi="Arial" w:eastAsia="Arial" w:cs="Arial"/>
      <w:sz w:val="30"/>
      <w:szCs w:val="30"/>
    </w:rPr>
  </w:style>
  <w:style w:type="character" w:styleId="898" w:customStyle="1">
    <w:name w:val="标题 4 字符"/>
    <w:link w:val="886"/>
    <w:uiPriority w:val="0"/>
    <w:qFormat/>
    <w:rPr>
      <w:rFonts w:ascii="Arial" w:hAnsi="Arial" w:eastAsia="Arial" w:cs="Arial"/>
      <w:b/>
      <w:bCs/>
      <w:sz w:val="26"/>
      <w:szCs w:val="26"/>
    </w:rPr>
  </w:style>
  <w:style w:type="character" w:styleId="899" w:customStyle="1">
    <w:name w:val="标题 5 字符"/>
    <w:link w:val="887"/>
    <w:uiPriority w:val="0"/>
    <w:qFormat/>
    <w:rPr>
      <w:rFonts w:ascii="Arial" w:hAnsi="Arial" w:eastAsia="Arial" w:cs="Arial"/>
      <w:b/>
      <w:bCs/>
      <w:sz w:val="24"/>
      <w:szCs w:val="24"/>
    </w:rPr>
  </w:style>
  <w:style w:type="character" w:styleId="900" w:customStyle="1">
    <w:name w:val="标题 6 字符"/>
    <w:link w:val="888"/>
    <w:uiPriority w:val="0"/>
    <w:qFormat/>
    <w:rPr>
      <w:rFonts w:ascii="Arial" w:hAnsi="Arial" w:eastAsia="Arial" w:cs="Arial"/>
      <w:b/>
      <w:bCs/>
      <w:sz w:val="22"/>
      <w:szCs w:val="22"/>
    </w:rPr>
  </w:style>
  <w:style w:type="character" w:styleId="901" w:customStyle="1">
    <w:name w:val="标题 7 字符"/>
    <w:link w:val="889"/>
    <w:uiPriority w:val="0"/>
    <w:qFormat/>
    <w:rPr>
      <w:rFonts w:ascii="Arial" w:hAnsi="Arial" w:eastAsia="Arial" w:cs="Arial"/>
      <w:b/>
      <w:bCs/>
      <w:i/>
      <w:iCs/>
      <w:sz w:val="22"/>
      <w:szCs w:val="22"/>
    </w:rPr>
  </w:style>
  <w:style w:type="character" w:styleId="902" w:customStyle="1">
    <w:name w:val="标题 8 字符"/>
    <w:link w:val="890"/>
    <w:uiPriority w:val="0"/>
    <w:qFormat/>
    <w:rPr>
      <w:rFonts w:ascii="Arial" w:hAnsi="Arial" w:eastAsia="Arial" w:cs="Arial"/>
      <w:i/>
      <w:iCs/>
      <w:sz w:val="22"/>
      <w:szCs w:val="22"/>
    </w:rPr>
  </w:style>
  <w:style w:type="character" w:styleId="903" w:customStyle="1">
    <w:name w:val="标题 9 字符"/>
    <w:link w:val="891"/>
    <w:uiPriority w:val="0"/>
    <w:qFormat/>
    <w:rPr>
      <w:rFonts w:ascii="Arial" w:hAnsi="Arial" w:eastAsia="Arial" w:cs="Arial"/>
      <w:i/>
      <w:iCs/>
      <w:sz w:val="21"/>
      <w:szCs w:val="21"/>
    </w:rPr>
  </w:style>
  <w:style w:type="paragraph" w:styleId="904" w:customStyle="1">
    <w:name w:val="列表 31"/>
    <w:basedOn w:val="828"/>
    <w:uiPriority w:val="0"/>
    <w:qFormat/>
    <w:pPr>
      <w:ind w:left="100" w:hanging="200"/>
    </w:pPr>
    <w:rPr>
      <w:rFonts w:ascii="Times New Roman" w:hAnsi="Times New Roman"/>
      <w:szCs w:val="21"/>
    </w:rPr>
  </w:style>
  <w:style w:type="paragraph" w:styleId="905" w:customStyle="1">
    <w:name w:val="目录 71"/>
    <w:basedOn w:val="828"/>
    <w:next w:val="828"/>
    <w:uiPriority w:val="0"/>
    <w:unhideWhenUsed/>
    <w:qFormat/>
    <w:pPr>
      <w:ind w:left="1701"/>
      <w:spacing w:after="57"/>
    </w:pPr>
  </w:style>
  <w:style w:type="paragraph" w:styleId="906" w:customStyle="1">
    <w:name w:val="题注1"/>
    <w:basedOn w:val="828"/>
    <w:next w:val="828"/>
    <w:uiPriority w:val="35"/>
    <w:qFormat/>
    <w:pPr>
      <w:spacing w:line="276" w:lineRule="auto"/>
    </w:pPr>
    <w:rPr>
      <w:b/>
      <w:bCs/>
      <w:color w:val="5b9bd5"/>
      <w:sz w:val="18"/>
      <w:szCs w:val="18"/>
    </w:rPr>
  </w:style>
  <w:style w:type="paragraph" w:styleId="907" w:customStyle="1">
    <w:name w:val="文档结构图1"/>
    <w:basedOn w:val="828"/>
    <w:link w:val="908"/>
    <w:uiPriority w:val="0"/>
    <w:semiHidden/>
    <w:qFormat/>
    <w:pPr>
      <w:shd w:val="clear" w:color="auto" w:fill="000080"/>
    </w:pPr>
    <w:rPr>
      <w:rFonts w:ascii="Times New Roman" w:hAnsi="Times New Roman"/>
      <w:szCs w:val="21"/>
    </w:rPr>
  </w:style>
  <w:style w:type="character" w:styleId="908" w:customStyle="1">
    <w:name w:val="文档结构图 字符"/>
    <w:link w:val="907"/>
    <w:uiPriority w:val="0"/>
    <w:semiHidden/>
    <w:qFormat/>
    <w:rPr>
      <w:sz w:val="21"/>
      <w:szCs w:val="21"/>
      <w:shd w:val="clear" w:color="auto" w:fill="000080"/>
    </w:rPr>
  </w:style>
  <w:style w:type="paragraph" w:styleId="909" w:customStyle="1">
    <w:name w:val="批注文字1"/>
    <w:basedOn w:val="828"/>
    <w:link w:val="910"/>
    <w:uiPriority w:val="0"/>
    <w:semiHidden/>
    <w:qFormat/>
    <w:pPr>
      <w:jc w:val="left"/>
    </w:pPr>
    <w:rPr>
      <w:rFonts w:ascii="Times New Roman" w:hAnsi="Times New Roman"/>
      <w:szCs w:val="21"/>
    </w:rPr>
  </w:style>
  <w:style w:type="character" w:styleId="910" w:customStyle="1">
    <w:name w:val="批注文字 字符"/>
    <w:link w:val="909"/>
    <w:uiPriority w:val="0"/>
    <w:semiHidden/>
    <w:qFormat/>
    <w:rPr>
      <w:sz w:val="21"/>
      <w:szCs w:val="21"/>
    </w:rPr>
  </w:style>
  <w:style w:type="paragraph" w:styleId="911" w:customStyle="1">
    <w:name w:val="正文文本 31"/>
    <w:basedOn w:val="828"/>
    <w:link w:val="912"/>
    <w:uiPriority w:val="0"/>
    <w:qFormat/>
    <w:rPr>
      <w:rFonts w:ascii="仿宋_GB2312" w:hAnsi="Arial" w:eastAsia="仿宋_GB2312"/>
      <w:sz w:val="32"/>
      <w:szCs w:val="32"/>
    </w:rPr>
  </w:style>
  <w:style w:type="character" w:styleId="912" w:customStyle="1">
    <w:name w:val="正文文本 3 字符"/>
    <w:link w:val="911"/>
    <w:uiPriority w:val="0"/>
    <w:qFormat/>
    <w:rPr>
      <w:rFonts w:ascii="仿宋_GB2312" w:hAnsi="Arial" w:eastAsia="仿宋_GB2312"/>
      <w:sz w:val="32"/>
      <w:szCs w:val="32"/>
    </w:rPr>
  </w:style>
  <w:style w:type="paragraph" w:styleId="913" w:customStyle="1">
    <w:name w:val="正文文本11"/>
    <w:basedOn w:val="828"/>
    <w:next w:val="828"/>
    <w:uiPriority w:val="0"/>
    <w:semiHidden/>
    <w:qFormat/>
    <w:rPr>
      <w:rFonts w:ascii="仿宋" w:hAnsi="仿宋" w:eastAsia="仿宋" w:cs="仿宋"/>
      <w:sz w:val="32"/>
      <w:szCs w:val="32"/>
      <w:lang w:val="en-US" w:eastAsia="en-US" w:bidi="ar-SA"/>
    </w:rPr>
  </w:style>
  <w:style w:type="paragraph" w:styleId="914" w:customStyle="1">
    <w:name w:val="正文文本缩进11"/>
    <w:basedOn w:val="828"/>
    <w:link w:val="915"/>
    <w:uiPriority w:val="0"/>
    <w:qFormat/>
    <w:pPr>
      <w:ind w:firstLine="225"/>
    </w:pPr>
    <w:rPr>
      <w:rFonts w:ascii="仿宋_GB2312" w:eastAsia="仿宋_GB2312"/>
      <w:sz w:val="32"/>
    </w:rPr>
  </w:style>
  <w:style w:type="character" w:styleId="915" w:customStyle="1">
    <w:name w:val="正文文本缩进 字符1"/>
    <w:link w:val="914"/>
    <w:uiPriority w:val="0"/>
    <w:qFormat/>
    <w:rPr>
      <w:rFonts w:ascii="仿宋_GB2312" w:hAnsi="Calibri" w:eastAsia="仿宋_GB2312"/>
      <w:sz w:val="32"/>
      <w:szCs w:val="22"/>
    </w:rPr>
  </w:style>
  <w:style w:type="paragraph" w:styleId="916" w:customStyle="1">
    <w:name w:val="列表 21"/>
    <w:basedOn w:val="828"/>
    <w:uiPriority w:val="0"/>
    <w:qFormat/>
    <w:pPr>
      <w:ind w:left="100" w:hanging="200"/>
    </w:pPr>
    <w:rPr>
      <w:rFonts w:ascii="Times New Roman" w:hAnsi="Times New Roman"/>
      <w:szCs w:val="21"/>
    </w:rPr>
  </w:style>
  <w:style w:type="paragraph" w:styleId="917" w:customStyle="1">
    <w:name w:val="目录 51"/>
    <w:basedOn w:val="828"/>
    <w:next w:val="828"/>
    <w:uiPriority w:val="0"/>
    <w:unhideWhenUsed/>
    <w:qFormat/>
    <w:pPr>
      <w:ind w:left="1134"/>
      <w:spacing w:after="57"/>
    </w:pPr>
  </w:style>
  <w:style w:type="paragraph" w:styleId="918" w:customStyle="1">
    <w:name w:val="目录 31"/>
    <w:basedOn w:val="828"/>
    <w:next w:val="828"/>
    <w:uiPriority w:val="0"/>
    <w:unhideWhenUsed/>
    <w:qFormat/>
    <w:pPr>
      <w:ind w:left="567"/>
      <w:spacing w:after="57"/>
    </w:pPr>
  </w:style>
  <w:style w:type="paragraph" w:styleId="919" w:customStyle="1">
    <w:name w:val="纯文本11"/>
    <w:basedOn w:val="828"/>
    <w:link w:val="920"/>
    <w:uiPriority w:val="0"/>
    <w:qFormat/>
    <w:rPr>
      <w:rFonts w:ascii="宋体" w:hAnsi="Courier New" w:cs="Courier New"/>
      <w:szCs w:val="21"/>
    </w:rPr>
  </w:style>
  <w:style w:type="character" w:styleId="920" w:customStyle="1">
    <w:name w:val="纯文本 字符"/>
    <w:link w:val="919"/>
    <w:uiPriority w:val="0"/>
    <w:qFormat/>
    <w:rPr>
      <w:rFonts w:ascii="宋体" w:hAnsi="Courier New" w:cs="Courier New"/>
      <w:sz w:val="21"/>
      <w:szCs w:val="21"/>
    </w:rPr>
  </w:style>
  <w:style w:type="paragraph" w:styleId="921" w:customStyle="1">
    <w:name w:val="目录 81"/>
    <w:basedOn w:val="828"/>
    <w:next w:val="828"/>
    <w:uiPriority w:val="0"/>
    <w:unhideWhenUsed/>
    <w:qFormat/>
    <w:pPr>
      <w:ind w:left="1984"/>
      <w:spacing w:after="57"/>
    </w:pPr>
  </w:style>
  <w:style w:type="paragraph" w:styleId="922" w:customStyle="1">
    <w:name w:val="日期1"/>
    <w:basedOn w:val="828"/>
    <w:next w:val="828"/>
    <w:link w:val="923"/>
    <w:uiPriority w:val="0"/>
    <w:qFormat/>
    <w:rPr>
      <w:rFonts w:ascii="Times New Roman" w:hAnsi="Times New Roman"/>
      <w:sz w:val="24"/>
      <w:szCs w:val="24"/>
    </w:rPr>
  </w:style>
  <w:style w:type="character" w:styleId="923" w:customStyle="1">
    <w:name w:val="日期 字符"/>
    <w:link w:val="922"/>
    <w:uiPriority w:val="0"/>
    <w:qFormat/>
    <w:rPr>
      <w:sz w:val="24"/>
      <w:szCs w:val="24"/>
    </w:rPr>
  </w:style>
  <w:style w:type="paragraph" w:styleId="924" w:customStyle="1">
    <w:name w:val="正文文本缩进 21"/>
    <w:basedOn w:val="828"/>
    <w:link w:val="925"/>
    <w:uiPriority w:val="0"/>
    <w:qFormat/>
    <w:pPr>
      <w:ind w:left="630" w:firstLine="645"/>
    </w:pPr>
    <w:rPr>
      <w:rFonts w:ascii="Arial" w:hAnsi="Arial" w:eastAsia="仿宋_GB2312" w:cs="Arial"/>
      <w:sz w:val="32"/>
      <w:szCs w:val="32"/>
    </w:rPr>
  </w:style>
  <w:style w:type="character" w:styleId="925" w:customStyle="1">
    <w:name w:val="正文文本缩进 2 字符"/>
    <w:link w:val="924"/>
    <w:uiPriority w:val="0"/>
    <w:qFormat/>
    <w:rPr>
      <w:rFonts w:ascii="Arial" w:hAnsi="Arial" w:eastAsia="仿宋_GB2312" w:cs="Arial"/>
      <w:sz w:val="32"/>
      <w:szCs w:val="32"/>
    </w:rPr>
  </w:style>
  <w:style w:type="paragraph" w:styleId="926" w:customStyle="1">
    <w:name w:val="尾注文本1"/>
    <w:basedOn w:val="828"/>
    <w:link w:val="927"/>
    <w:uiPriority w:val="99"/>
    <w:unhideWhenUsed/>
    <w:qFormat/>
    <w:rPr>
      <w:sz w:val="20"/>
    </w:rPr>
  </w:style>
  <w:style w:type="character" w:styleId="927" w:customStyle="1">
    <w:name w:val="尾注文本 字符"/>
    <w:link w:val="926"/>
    <w:uiPriority w:val="99"/>
    <w:qFormat/>
    <w:rPr>
      <w:sz w:val="20"/>
    </w:rPr>
  </w:style>
  <w:style w:type="paragraph" w:styleId="928" w:customStyle="1">
    <w:name w:val="批注框文本1"/>
    <w:basedOn w:val="828"/>
    <w:link w:val="929"/>
    <w:uiPriority w:val="0"/>
    <w:qFormat/>
    <w:rPr>
      <w:rFonts w:ascii="Times New Roman" w:hAnsi="Times New Roman"/>
      <w:sz w:val="18"/>
      <w:szCs w:val="18"/>
    </w:rPr>
  </w:style>
  <w:style w:type="character" w:styleId="929" w:customStyle="1">
    <w:name w:val="批注框文本 字符"/>
    <w:link w:val="928"/>
    <w:uiPriority w:val="0"/>
    <w:qFormat/>
    <w:rPr>
      <w:sz w:val="18"/>
      <w:szCs w:val="18"/>
    </w:rPr>
  </w:style>
  <w:style w:type="paragraph" w:styleId="930" w:customStyle="1">
    <w:name w:val="页脚11"/>
    <w:basedOn w:val="828"/>
    <w:link w:val="931"/>
    <w:uiPriority w:val="99"/>
    <w:qFormat/>
    <w:pPr>
      <w:jc w:val="left"/>
      <w:tabs>
        <w:tab w:val="center" w:pos="4153" w:leader="none"/>
        <w:tab w:val="right" w:pos="8306" w:leader="none"/>
      </w:tabs>
    </w:pPr>
    <w:rPr>
      <w:sz w:val="18"/>
      <w:szCs w:val="18"/>
    </w:rPr>
  </w:style>
  <w:style w:type="character" w:styleId="931" w:customStyle="1">
    <w:name w:val="页脚 字符"/>
    <w:link w:val="930"/>
    <w:uiPriority w:val="99"/>
    <w:qFormat/>
  </w:style>
  <w:style w:type="paragraph" w:styleId="932" w:customStyle="1">
    <w:name w:val="页眉1"/>
    <w:basedOn w:val="828"/>
    <w:link w:val="933"/>
    <w:uiPriority w:val="0"/>
    <w:qFormat/>
    <w:pPr>
      <w:jc w:val="center"/>
      <w:tabs>
        <w:tab w:val="center" w:pos="4153" w:leader="none"/>
        <w:tab w:val="right" w:pos="8306" w:leader="none"/>
      </w:tabs>
    </w:pPr>
    <w:rPr>
      <w:sz w:val="18"/>
      <w:szCs w:val="18"/>
    </w:rPr>
  </w:style>
  <w:style w:type="character" w:styleId="933" w:customStyle="1">
    <w:name w:val="页眉 字符"/>
    <w:link w:val="932"/>
    <w:uiPriority w:val="0"/>
    <w:qFormat/>
    <w:rPr>
      <w:rFonts w:ascii="Calibri" w:hAnsi="Calibri"/>
      <w:sz w:val="18"/>
      <w:szCs w:val="18"/>
    </w:rPr>
  </w:style>
  <w:style w:type="paragraph" w:styleId="934" w:customStyle="1">
    <w:name w:val="目录 11"/>
    <w:basedOn w:val="828"/>
    <w:next w:val="828"/>
    <w:uiPriority w:val="0"/>
    <w:qFormat/>
    <w:pPr>
      <w:jc w:val="left"/>
      <w:spacing w:before="120" w:after="120"/>
    </w:pPr>
    <w:rPr>
      <w:rFonts w:cs="Calibri"/>
      <w:b/>
      <w:bCs/>
      <w:caps/>
      <w:sz w:val="20"/>
      <w:szCs w:val="20"/>
    </w:rPr>
  </w:style>
  <w:style w:type="paragraph" w:styleId="935" w:customStyle="1">
    <w:name w:val="目录 41"/>
    <w:basedOn w:val="828"/>
    <w:next w:val="828"/>
    <w:uiPriority w:val="0"/>
    <w:unhideWhenUsed/>
    <w:qFormat/>
    <w:pPr>
      <w:ind w:left="850"/>
      <w:spacing w:after="57"/>
    </w:pPr>
  </w:style>
  <w:style w:type="paragraph" w:styleId="936" w:customStyle="1">
    <w:name w:val="副标题1"/>
    <w:basedOn w:val="828"/>
    <w:next w:val="828"/>
    <w:link w:val="937"/>
    <w:uiPriority w:val="11"/>
    <w:qFormat/>
    <w:pPr>
      <w:spacing w:before="200" w:after="200"/>
    </w:pPr>
    <w:rPr>
      <w:sz w:val="24"/>
      <w:szCs w:val="24"/>
    </w:rPr>
  </w:style>
  <w:style w:type="character" w:styleId="937" w:customStyle="1">
    <w:name w:val="副标题 字符"/>
    <w:link w:val="936"/>
    <w:uiPriority w:val="11"/>
    <w:qFormat/>
    <w:rPr>
      <w:sz w:val="24"/>
      <w:szCs w:val="24"/>
    </w:rPr>
  </w:style>
  <w:style w:type="paragraph" w:styleId="938" w:customStyle="1">
    <w:name w:val="列表1"/>
    <w:basedOn w:val="828"/>
    <w:uiPriority w:val="0"/>
    <w:qFormat/>
    <w:pPr>
      <w:ind w:left="200" w:hanging="200"/>
    </w:pPr>
    <w:rPr>
      <w:rFonts w:ascii="Times New Roman" w:hAnsi="Times New Roman"/>
      <w:szCs w:val="21"/>
    </w:rPr>
  </w:style>
  <w:style w:type="paragraph" w:styleId="939" w:customStyle="1">
    <w:name w:val="脚注文本11"/>
    <w:basedOn w:val="828"/>
    <w:link w:val="940"/>
    <w:uiPriority w:val="99"/>
    <w:unhideWhenUsed/>
    <w:qFormat/>
    <w:pPr>
      <w:spacing w:after="40"/>
    </w:pPr>
    <w:rPr>
      <w:sz w:val="18"/>
    </w:rPr>
  </w:style>
  <w:style w:type="character" w:styleId="940" w:customStyle="1">
    <w:name w:val="脚注文本 字符"/>
    <w:link w:val="939"/>
    <w:uiPriority w:val="99"/>
    <w:qFormat/>
    <w:rPr>
      <w:sz w:val="18"/>
    </w:rPr>
  </w:style>
  <w:style w:type="paragraph" w:styleId="941" w:customStyle="1">
    <w:name w:val="目录 61"/>
    <w:basedOn w:val="828"/>
    <w:next w:val="828"/>
    <w:uiPriority w:val="0"/>
    <w:unhideWhenUsed/>
    <w:qFormat/>
    <w:pPr>
      <w:ind w:left="1417"/>
      <w:spacing w:after="57"/>
    </w:pPr>
  </w:style>
  <w:style w:type="paragraph" w:styleId="942" w:customStyle="1">
    <w:name w:val="正文文本缩进 31"/>
    <w:basedOn w:val="828"/>
    <w:link w:val="943"/>
    <w:uiPriority w:val="0"/>
    <w:qFormat/>
    <w:pPr>
      <w:ind w:left="645" w:firstLine="645"/>
    </w:pPr>
    <w:rPr>
      <w:rFonts w:ascii="Arial" w:hAnsi="Arial" w:eastAsia="仿宋_GB2312" w:cs="Arial"/>
      <w:color w:val="ffff00"/>
      <w:sz w:val="32"/>
      <w:szCs w:val="32"/>
    </w:rPr>
  </w:style>
  <w:style w:type="character" w:styleId="943" w:customStyle="1">
    <w:name w:val="正文文本缩进 3 字符"/>
    <w:link w:val="942"/>
    <w:uiPriority w:val="0"/>
    <w:qFormat/>
    <w:rPr>
      <w:rFonts w:ascii="Arial" w:hAnsi="Arial" w:eastAsia="仿宋_GB2312" w:cs="Arial"/>
      <w:color w:val="ffff00"/>
      <w:sz w:val="32"/>
      <w:szCs w:val="32"/>
    </w:rPr>
  </w:style>
  <w:style w:type="paragraph" w:styleId="944" w:customStyle="1">
    <w:name w:val="图表目录1"/>
    <w:basedOn w:val="828"/>
    <w:next w:val="828"/>
    <w:uiPriority w:val="0"/>
    <w:unhideWhenUsed/>
    <w:qFormat/>
  </w:style>
  <w:style w:type="paragraph" w:styleId="945" w:customStyle="1">
    <w:name w:val="目录 21"/>
    <w:basedOn w:val="828"/>
    <w:next w:val="828"/>
    <w:uiPriority w:val="0"/>
    <w:qFormat/>
    <w:pPr>
      <w:ind w:left="210"/>
      <w:jc w:val="left"/>
    </w:pPr>
    <w:rPr>
      <w:rFonts w:cs="Calibri"/>
      <w:smallCaps/>
      <w:sz w:val="20"/>
      <w:szCs w:val="20"/>
    </w:rPr>
  </w:style>
  <w:style w:type="paragraph" w:styleId="946" w:customStyle="1">
    <w:name w:val="目录 91"/>
    <w:basedOn w:val="828"/>
    <w:next w:val="828"/>
    <w:uiPriority w:val="0"/>
    <w:unhideWhenUsed/>
    <w:qFormat/>
    <w:pPr>
      <w:ind w:left="2268"/>
      <w:spacing w:after="57"/>
    </w:pPr>
  </w:style>
  <w:style w:type="paragraph" w:styleId="947" w:customStyle="1">
    <w:name w:val="正文文本 21"/>
    <w:basedOn w:val="828"/>
    <w:link w:val="948"/>
    <w:uiPriority w:val="0"/>
    <w:qFormat/>
    <w:pPr>
      <w:jc w:val="center"/>
      <w:widowControl/>
    </w:pPr>
    <w:rPr>
      <w:rFonts w:ascii="楷体_GB2312" w:hAnsi="Times New Roman" w:eastAsia="楷体_GB2312"/>
      <w:sz w:val="28"/>
      <w:szCs w:val="28"/>
    </w:rPr>
  </w:style>
  <w:style w:type="character" w:styleId="948" w:customStyle="1">
    <w:name w:val="正文文本 2 字符"/>
    <w:link w:val="947"/>
    <w:uiPriority w:val="0"/>
    <w:qFormat/>
    <w:rPr>
      <w:rFonts w:ascii="楷体_GB2312" w:eastAsia="楷体_GB2312"/>
      <w:sz w:val="28"/>
      <w:szCs w:val="28"/>
    </w:rPr>
  </w:style>
  <w:style w:type="paragraph" w:styleId="949" w:customStyle="1">
    <w:name w:val="HTML 预设格式1"/>
    <w:basedOn w:val="828"/>
    <w:link w:val="95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50" w:customStyle="1">
    <w:name w:val="HTML 预设格式 字符"/>
    <w:link w:val="949"/>
    <w:uiPriority w:val="99"/>
    <w:qFormat/>
    <w:rPr>
      <w:rFonts w:ascii="宋体" w:hAnsi="宋体"/>
      <w:sz w:val="24"/>
      <w:szCs w:val="24"/>
    </w:rPr>
  </w:style>
  <w:style w:type="paragraph" w:styleId="951" w:customStyle="1">
    <w:name w:val="普通(网站)111"/>
    <w:basedOn w:val="828"/>
    <w:uiPriority w:val="99"/>
    <w:qFormat/>
    <w:pPr>
      <w:jc w:val="left"/>
      <w:spacing w:before="100" w:beforeAutospacing="1" w:after="100" w:afterAutospacing="1"/>
      <w:widowControl/>
    </w:pPr>
    <w:rPr>
      <w:rFonts w:ascii="宋体" w:hAnsi="宋体" w:cs="宋体"/>
      <w:sz w:val="24"/>
      <w:szCs w:val="24"/>
    </w:rPr>
  </w:style>
  <w:style w:type="paragraph" w:styleId="952" w:customStyle="1">
    <w:name w:val="索引 11"/>
    <w:basedOn w:val="828"/>
    <w:next w:val="828"/>
    <w:uiPriority w:val="0"/>
    <w:semiHidden/>
    <w:qFormat/>
    <w:pPr>
      <w:spacing w:line="240" w:lineRule="atLeast"/>
    </w:pPr>
    <w:rPr>
      <w:rFonts w:ascii="Times New Roman" w:hAnsi="Times New Roman"/>
      <w:b/>
      <w:bCs/>
      <w:szCs w:val="21"/>
    </w:rPr>
  </w:style>
  <w:style w:type="paragraph" w:styleId="953" w:customStyle="1">
    <w:name w:val="标题11"/>
    <w:basedOn w:val="828"/>
    <w:next w:val="828"/>
    <w:link w:val="954"/>
    <w:uiPriority w:val="10"/>
    <w:qFormat/>
    <w:pPr>
      <w:contextualSpacing/>
      <w:spacing w:before="300" w:after="200"/>
    </w:pPr>
    <w:rPr>
      <w:sz w:val="48"/>
      <w:szCs w:val="48"/>
    </w:rPr>
  </w:style>
  <w:style w:type="character" w:styleId="954" w:customStyle="1">
    <w:name w:val="标题 字符"/>
    <w:link w:val="953"/>
    <w:uiPriority w:val="10"/>
    <w:qFormat/>
    <w:rPr>
      <w:sz w:val="48"/>
      <w:szCs w:val="48"/>
    </w:rPr>
  </w:style>
  <w:style w:type="paragraph" w:styleId="955" w:customStyle="1">
    <w:name w:val="批注主题1"/>
    <w:basedOn w:val="909"/>
    <w:next w:val="909"/>
    <w:link w:val="956"/>
    <w:uiPriority w:val="0"/>
    <w:semiHidden/>
    <w:qFormat/>
    <w:rPr>
      <w:b/>
      <w:bCs/>
    </w:rPr>
  </w:style>
  <w:style w:type="character" w:styleId="956" w:customStyle="1">
    <w:name w:val="批注主题 字符"/>
    <w:link w:val="955"/>
    <w:uiPriority w:val="0"/>
    <w:semiHidden/>
    <w:qFormat/>
    <w:rPr>
      <w:b/>
      <w:bCs/>
      <w:sz w:val="21"/>
      <w:szCs w:val="21"/>
    </w:rPr>
  </w:style>
  <w:style w:type="paragraph" w:styleId="957" w:customStyle="1">
    <w:name w:val="正文首行缩进 211"/>
    <w:basedOn w:val="914"/>
    <w:link w:val="958"/>
    <w:uiPriority w:val="0"/>
    <w:qFormat/>
    <w:pPr>
      <w:ind w:firstLine="420"/>
      <w:spacing w:line="360" w:lineRule="auto"/>
    </w:pPr>
    <w:rPr>
      <w:rFonts w:ascii="宋体" w:hAnsi="宋体" w:eastAsia="宋体"/>
      <w:sz w:val="21"/>
      <w:szCs w:val="20"/>
    </w:rPr>
  </w:style>
  <w:style w:type="character" w:styleId="958" w:customStyle="1">
    <w:name w:val="正文文本首行缩进 2 字符"/>
    <w:link w:val="957"/>
    <w:uiPriority w:val="0"/>
    <w:qFormat/>
    <w:rPr>
      <w:rFonts w:ascii="宋体" w:hAnsi="宋体" w:eastAsia="仿宋_GB2312"/>
      <w:sz w:val="21"/>
      <w:szCs w:val="22"/>
    </w:rPr>
  </w:style>
  <w:style w:type="table" w:styleId="959" w:customStyle="1">
    <w:name w:val="网格型1"/>
    <w:basedOn w:val="893"/>
    <w:uiPriority w:val="0"/>
    <w:qFormat/>
    <w:pPr>
      <w:jc w:val="both"/>
      <w:widowControl w:val="off"/>
    </w:pPr>
    <w:tblPr/>
  </w:style>
  <w:style w:type="character" w:styleId="960" w:customStyle="1">
    <w:name w:val="要点1"/>
    <w:link w:val="828"/>
    <w:uiPriority w:val="0"/>
    <w:qFormat/>
    <w:rPr>
      <w:b/>
      <w:bCs/>
    </w:rPr>
  </w:style>
  <w:style w:type="character" w:styleId="961" w:customStyle="1">
    <w:name w:val="尾注引用1"/>
    <w:link w:val="828"/>
    <w:uiPriority w:val="99"/>
    <w:unhideWhenUsed/>
    <w:qFormat/>
    <w:rPr>
      <w:vertAlign w:val="superscript"/>
    </w:rPr>
  </w:style>
  <w:style w:type="character" w:styleId="962" w:customStyle="1">
    <w:name w:val="页码11"/>
    <w:link w:val="828"/>
    <w:uiPriority w:val="0"/>
    <w:qFormat/>
  </w:style>
  <w:style w:type="character" w:styleId="963" w:customStyle="1">
    <w:name w:val="已访问的超链接1"/>
    <w:link w:val="828"/>
    <w:uiPriority w:val="0"/>
    <w:qFormat/>
    <w:rPr>
      <w:color w:val="800080"/>
      <w:u w:val="single"/>
    </w:rPr>
  </w:style>
  <w:style w:type="character" w:styleId="964" w:customStyle="1">
    <w:name w:val="超链接1"/>
    <w:link w:val="828"/>
    <w:uiPriority w:val="0"/>
    <w:qFormat/>
    <w:rPr>
      <w:color w:val="0000ff"/>
      <w:u w:val="single"/>
    </w:rPr>
  </w:style>
  <w:style w:type="character" w:styleId="965" w:customStyle="1">
    <w:name w:val="批注引用1"/>
    <w:link w:val="828"/>
    <w:uiPriority w:val="0"/>
    <w:semiHidden/>
    <w:qFormat/>
    <w:rPr>
      <w:sz w:val="21"/>
      <w:szCs w:val="21"/>
    </w:rPr>
  </w:style>
  <w:style w:type="character" w:styleId="966" w:customStyle="1">
    <w:name w:val="脚注引用1"/>
    <w:link w:val="828"/>
    <w:uiPriority w:val="99"/>
    <w:unhideWhenUsed/>
    <w:qFormat/>
    <w:rPr>
      <w:vertAlign w:val="superscript"/>
    </w:rPr>
  </w:style>
  <w:style w:type="paragraph" w:styleId="967" w:customStyle="1">
    <w:name w:val="寄信人地址1"/>
    <w:basedOn w:val="828"/>
    <w:uiPriority w:val="0"/>
    <w:qFormat/>
    <w:rPr>
      <w:rFonts w:ascii="Arial" w:hAnsi="Arial"/>
    </w:rPr>
  </w:style>
  <w:style w:type="paragraph" w:styleId="968" w:customStyle="1">
    <w:name w:val="标题 41"/>
    <w:basedOn w:val="969"/>
    <w:next w:val="82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69" w:customStyle="1">
    <w:name w:val="Normal_20"/>
    <w:next w:val="970"/>
    <w:uiPriority w:val="0"/>
    <w:qFormat/>
    <w:rPr>
      <w:rFonts w:hint="default" w:ascii="黑体" w:hAnsi="黑体" w:eastAsia="黑体" w:cs="黑体"/>
      <w:b/>
      <w:sz w:val="32"/>
      <w:szCs w:val="24"/>
      <w:lang w:val="en-US" w:eastAsia="zh-CN" w:bidi="ar-SA"/>
    </w:rPr>
  </w:style>
  <w:style w:type="paragraph" w:styleId="970" w:customStyle="1">
    <w:name w:val="Body Text First Indent_2"/>
    <w:basedOn w:val="969"/>
    <w:uiPriority w:val="0"/>
    <w:qFormat/>
    <w:pPr>
      <w:ind w:firstLine="100"/>
      <w:spacing w:after="120"/>
    </w:pPr>
  </w:style>
  <w:style w:type="paragraph" w:styleId="971" w:customStyle="1">
    <w:name w:val="脚注文本1"/>
    <w:basedOn w:val="828"/>
    <w:uiPriority w:val="0"/>
    <w:qFormat/>
    <w:pPr>
      <w:jc w:val="left"/>
    </w:pPr>
    <w:rPr>
      <w:rFonts w:eastAsia="Times New Roman"/>
      <w:sz w:val="18"/>
      <w:szCs w:val="24"/>
    </w:rPr>
  </w:style>
  <w:style w:type="table" w:styleId="972" w:customStyle="1">
    <w:name w:val="Plain Table 1"/>
    <w:basedOn w:val="893"/>
    <w:uiPriority w:val="59"/>
    <w:qFormat/>
    <w:pPr>
      <w:spacing w:after="0" w:line="240" w:lineRule="auto"/>
    </w:pPr>
    <w:tblPr/>
  </w:style>
  <w:style w:type="table" w:styleId="973" w:customStyle="1">
    <w:name w:val="Plain Table 2"/>
    <w:basedOn w:val="893"/>
    <w:uiPriority w:val="59"/>
    <w:qFormat/>
    <w:pPr>
      <w:spacing w:after="0" w:line="240" w:lineRule="auto"/>
    </w:pPr>
    <w:tblPr/>
  </w:style>
  <w:style w:type="table" w:styleId="974" w:customStyle="1">
    <w:name w:val="Plain Table 3"/>
    <w:basedOn w:val="893"/>
    <w:uiPriority w:val="99"/>
    <w:qFormat/>
    <w:pPr>
      <w:spacing w:after="0" w:line="240" w:lineRule="auto"/>
    </w:pPr>
    <w:tblPr/>
  </w:style>
  <w:style w:type="table" w:styleId="975" w:customStyle="1">
    <w:name w:val="Plain Table 4"/>
    <w:basedOn w:val="893"/>
    <w:uiPriority w:val="99"/>
    <w:qFormat/>
    <w:pPr>
      <w:spacing w:after="0" w:line="240" w:lineRule="auto"/>
    </w:pPr>
    <w:tblPr/>
  </w:style>
  <w:style w:type="table" w:styleId="976" w:customStyle="1">
    <w:name w:val="Plain Table 5"/>
    <w:basedOn w:val="893"/>
    <w:uiPriority w:val="99"/>
    <w:qFormat/>
    <w:pPr>
      <w:spacing w:after="0" w:line="240" w:lineRule="auto"/>
    </w:pPr>
    <w:tblPr/>
  </w:style>
  <w:style w:type="table" w:styleId="977" w:customStyle="1">
    <w:name w:val="Grid Table 1 Light"/>
    <w:basedOn w:val="893"/>
    <w:uiPriority w:val="99"/>
    <w:qFormat/>
    <w:pPr>
      <w:spacing w:after="0" w:line="240" w:lineRule="auto"/>
    </w:pPr>
    <w:tblPr/>
  </w:style>
  <w:style w:type="table" w:styleId="978" w:customStyle="1">
    <w:name w:val="Grid Table 2"/>
    <w:basedOn w:val="893"/>
    <w:uiPriority w:val="99"/>
    <w:qFormat/>
    <w:pPr>
      <w:spacing w:after="0" w:line="240" w:lineRule="auto"/>
    </w:pPr>
    <w:tblPr/>
  </w:style>
  <w:style w:type="table" w:styleId="979" w:customStyle="1">
    <w:name w:val="Grid Table 3"/>
    <w:basedOn w:val="893"/>
    <w:uiPriority w:val="99"/>
    <w:qFormat/>
    <w:pPr>
      <w:spacing w:after="0" w:line="240" w:lineRule="auto"/>
    </w:pPr>
    <w:tblPr/>
  </w:style>
  <w:style w:type="table" w:styleId="980" w:customStyle="1">
    <w:name w:val="Grid Table 4"/>
    <w:basedOn w:val="893"/>
    <w:uiPriority w:val="59"/>
    <w:qFormat/>
    <w:pPr>
      <w:spacing w:after="0" w:line="240" w:lineRule="auto"/>
    </w:pPr>
    <w:tblPr/>
  </w:style>
  <w:style w:type="table" w:styleId="981" w:customStyle="1">
    <w:name w:val="Grid Table 5 Dark"/>
    <w:basedOn w:val="893"/>
    <w:uiPriority w:val="99"/>
    <w:qFormat/>
    <w:pPr>
      <w:spacing w:after="0" w:line="240" w:lineRule="auto"/>
    </w:pPr>
    <w:tblPr/>
  </w:style>
  <w:style w:type="table" w:styleId="982" w:customStyle="1">
    <w:name w:val="Grid Table 6 Colorful"/>
    <w:basedOn w:val="893"/>
    <w:uiPriority w:val="99"/>
    <w:qFormat/>
    <w:pPr>
      <w:spacing w:after="0" w:line="240" w:lineRule="auto"/>
    </w:pPr>
    <w:tblPr/>
  </w:style>
  <w:style w:type="table" w:styleId="983" w:customStyle="1">
    <w:name w:val="Grid Table 7 Colorful"/>
    <w:basedOn w:val="893"/>
    <w:uiPriority w:val="99"/>
    <w:qFormat/>
    <w:pPr>
      <w:spacing w:after="0" w:line="240" w:lineRule="auto"/>
    </w:pPr>
    <w:tblPr/>
  </w:style>
  <w:style w:type="table" w:styleId="984" w:customStyle="1">
    <w:name w:val="List Table 1 Light"/>
    <w:basedOn w:val="893"/>
    <w:uiPriority w:val="99"/>
    <w:qFormat/>
    <w:pPr>
      <w:spacing w:after="0" w:line="240" w:lineRule="auto"/>
    </w:pPr>
    <w:tblPr/>
  </w:style>
  <w:style w:type="table" w:styleId="985" w:customStyle="1">
    <w:name w:val="List Table 2"/>
    <w:basedOn w:val="893"/>
    <w:uiPriority w:val="99"/>
    <w:qFormat/>
    <w:pPr>
      <w:spacing w:after="0" w:line="240" w:lineRule="auto"/>
    </w:pPr>
    <w:tblPr/>
  </w:style>
  <w:style w:type="table" w:styleId="986" w:customStyle="1">
    <w:name w:val="List Table 3"/>
    <w:basedOn w:val="893"/>
    <w:uiPriority w:val="99"/>
    <w:qFormat/>
    <w:pPr>
      <w:spacing w:after="0" w:line="240" w:lineRule="auto"/>
    </w:pPr>
    <w:tblPr/>
  </w:style>
  <w:style w:type="table" w:styleId="987" w:customStyle="1">
    <w:name w:val="List Table 4"/>
    <w:basedOn w:val="893"/>
    <w:uiPriority w:val="99"/>
    <w:qFormat/>
    <w:pPr>
      <w:spacing w:after="0" w:line="240" w:lineRule="auto"/>
    </w:pPr>
    <w:tblPr/>
  </w:style>
  <w:style w:type="table" w:styleId="988" w:customStyle="1">
    <w:name w:val="List Table 5 Dark"/>
    <w:basedOn w:val="893"/>
    <w:uiPriority w:val="99"/>
    <w:qFormat/>
    <w:pPr>
      <w:spacing w:after="0" w:line="240" w:lineRule="auto"/>
    </w:pPr>
    <w:tblPr/>
  </w:style>
  <w:style w:type="table" w:styleId="989" w:customStyle="1">
    <w:name w:val="List Table 6 Colorful"/>
    <w:basedOn w:val="893"/>
    <w:uiPriority w:val="99"/>
    <w:qFormat/>
    <w:pPr>
      <w:spacing w:after="0" w:line="240" w:lineRule="auto"/>
    </w:pPr>
    <w:tblPr/>
  </w:style>
  <w:style w:type="table" w:styleId="990" w:customStyle="1">
    <w:name w:val="List Table 7 Colorful"/>
    <w:basedOn w:val="893"/>
    <w:uiPriority w:val="99"/>
    <w:qFormat/>
    <w:pPr>
      <w:spacing w:after="0" w:line="240" w:lineRule="auto"/>
    </w:pPr>
    <w:tblPr/>
  </w:style>
  <w:style w:type="paragraph" w:styleId="991" w:customStyle="1">
    <w:name w:val="TOC Heading"/>
    <w:uiPriority w:val="39"/>
    <w:unhideWhenUsed/>
    <w:qFormat/>
    <w:rPr>
      <w:rFonts w:hint="default" w:ascii="Times New Roman" w:hAnsi="Times New Roman" w:eastAsia="宋体" w:cs="Times New Roman"/>
      <w:lang w:val="en-US" w:eastAsia="zh-CN" w:bidi="ar-SA"/>
    </w:rPr>
  </w:style>
  <w:style w:type="table" w:styleId="992" w:customStyle="1">
    <w:name w:val="无格式表格 11"/>
    <w:basedOn w:val="893"/>
    <w:uiPriority w:val="59"/>
    <w:qFormat/>
    <w:tblPr/>
  </w:style>
  <w:style w:type="table" w:styleId="993" w:customStyle="1">
    <w:name w:val="无格式表格 21"/>
    <w:basedOn w:val="893"/>
    <w:uiPriority w:val="59"/>
    <w:qFormat/>
    <w:tblPr/>
  </w:style>
  <w:style w:type="table" w:styleId="994" w:customStyle="1">
    <w:name w:val="无格式表格 31"/>
    <w:basedOn w:val="893"/>
    <w:uiPriority w:val="99"/>
    <w:qFormat/>
    <w:tblPr/>
  </w:style>
  <w:style w:type="table" w:styleId="995" w:customStyle="1">
    <w:name w:val="无格式表格 41"/>
    <w:basedOn w:val="893"/>
    <w:uiPriority w:val="99"/>
    <w:qFormat/>
    <w:tblPr/>
  </w:style>
  <w:style w:type="table" w:styleId="996" w:customStyle="1">
    <w:name w:val="无格式表格 51"/>
    <w:basedOn w:val="893"/>
    <w:uiPriority w:val="99"/>
    <w:qFormat/>
    <w:tblPr/>
  </w:style>
  <w:style w:type="table" w:styleId="997" w:customStyle="1">
    <w:name w:val="网格表 1 浅色1"/>
    <w:basedOn w:val="893"/>
    <w:uiPriority w:val="99"/>
    <w:qFormat/>
    <w:tblPr/>
  </w:style>
  <w:style w:type="table" w:styleId="998" w:customStyle="1">
    <w:name w:val="网格表 21"/>
    <w:basedOn w:val="893"/>
    <w:uiPriority w:val="99"/>
    <w:qFormat/>
    <w:tblPr/>
  </w:style>
  <w:style w:type="table" w:styleId="999" w:customStyle="1">
    <w:name w:val="网格表 31"/>
    <w:basedOn w:val="893"/>
    <w:uiPriority w:val="99"/>
    <w:qFormat/>
    <w:tblPr/>
  </w:style>
  <w:style w:type="table" w:styleId="1000" w:customStyle="1">
    <w:name w:val="网格表 41"/>
    <w:basedOn w:val="893"/>
    <w:uiPriority w:val="59"/>
    <w:qFormat/>
    <w:tblPr/>
  </w:style>
  <w:style w:type="table" w:styleId="1001" w:customStyle="1">
    <w:name w:val="网格表 5 深色1"/>
    <w:basedOn w:val="893"/>
    <w:uiPriority w:val="99"/>
    <w:qFormat/>
    <w:tblPr/>
  </w:style>
  <w:style w:type="table" w:styleId="1002" w:customStyle="1">
    <w:name w:val="网格表 6 彩色1"/>
    <w:basedOn w:val="893"/>
    <w:uiPriority w:val="99"/>
    <w:qFormat/>
    <w:tblPr/>
  </w:style>
  <w:style w:type="table" w:styleId="1003" w:customStyle="1">
    <w:name w:val="网格表 7 彩色1"/>
    <w:basedOn w:val="893"/>
    <w:uiPriority w:val="99"/>
    <w:qFormat/>
    <w:tblPr/>
  </w:style>
  <w:style w:type="table" w:styleId="1004" w:customStyle="1">
    <w:name w:val="清单表 1 浅色1"/>
    <w:basedOn w:val="893"/>
    <w:uiPriority w:val="99"/>
    <w:qFormat/>
    <w:tblPr/>
  </w:style>
  <w:style w:type="table" w:styleId="1005" w:customStyle="1">
    <w:name w:val="清单表 21"/>
    <w:basedOn w:val="893"/>
    <w:uiPriority w:val="99"/>
    <w:qFormat/>
    <w:tblPr/>
  </w:style>
  <w:style w:type="table" w:styleId="1006" w:customStyle="1">
    <w:name w:val="清单表 31"/>
    <w:basedOn w:val="893"/>
    <w:uiPriority w:val="99"/>
    <w:qFormat/>
    <w:tblPr/>
  </w:style>
  <w:style w:type="table" w:styleId="1007" w:customStyle="1">
    <w:name w:val="清单表 41"/>
    <w:basedOn w:val="893"/>
    <w:uiPriority w:val="99"/>
    <w:qFormat/>
    <w:tblPr/>
  </w:style>
  <w:style w:type="table" w:styleId="1008" w:customStyle="1">
    <w:name w:val="清单表 5 深色1"/>
    <w:basedOn w:val="893"/>
    <w:uiPriority w:val="99"/>
    <w:qFormat/>
    <w:tblPr/>
  </w:style>
  <w:style w:type="table" w:styleId="1009" w:customStyle="1">
    <w:name w:val="清单表 6 彩色1"/>
    <w:basedOn w:val="893"/>
    <w:uiPriority w:val="99"/>
    <w:qFormat/>
    <w:tblPr/>
  </w:style>
  <w:style w:type="table" w:styleId="1010" w:customStyle="1">
    <w:name w:val="清单表 7 彩色1"/>
    <w:basedOn w:val="893"/>
    <w:uiPriority w:val="99"/>
    <w:qFormat/>
    <w:tblPr/>
  </w:style>
  <w:style w:type="paragraph" w:styleId="1011" w:customStyle="1">
    <w:name w:val="TOC 标题1"/>
    <w:uiPriority w:val="39"/>
    <w:unhideWhenUsed/>
    <w:qFormat/>
    <w:rPr>
      <w:rFonts w:hint="default" w:ascii="Times New Roman" w:hAnsi="Times New Roman" w:eastAsia="宋体" w:cs="Times New Roman"/>
      <w:lang w:val="en-US" w:eastAsia="zh-CN" w:bidi="ar-SA"/>
    </w:rPr>
  </w:style>
  <w:style w:type="paragraph" w:styleId="1012" w:customStyle="1">
    <w:name w:val="Normal_21"/>
    <w:basedOn w:val="1013"/>
    <w:next w:val="1013"/>
    <w:uiPriority w:val="0"/>
    <w:qFormat/>
    <w:pPr>
      <w:jc w:val="both"/>
      <w:widowControl w:val="off"/>
    </w:pPr>
    <w:rPr>
      <w:rFonts w:ascii="Times New Roman" w:hAnsi="Times New Roman" w:eastAsia="宋体" w:cs="Times New Roman"/>
      <w:sz w:val="21"/>
      <w:szCs w:val="24"/>
      <w:lang w:val="en-US" w:eastAsia="zh-CN" w:bidi="ar-SA"/>
    </w:rPr>
  </w:style>
  <w:style w:type="paragraph" w:styleId="1013"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14" w:customStyle="1">
    <w:name w:val="正文_17"/>
    <w:next w:val="10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5" w:customStyle="1">
    <w:name w:val="标题 4_1"/>
    <w:basedOn w:val="1014"/>
    <w:next w:val="101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016" w:customStyle="1">
    <w:name w:val="Heading 1 Char"/>
    <w:link w:val="828"/>
    <w:uiPriority w:val="9"/>
    <w:qFormat/>
    <w:rPr>
      <w:rFonts w:ascii="Arial" w:hAnsi="Arial" w:eastAsia="Arial" w:cs="Arial"/>
      <w:sz w:val="40"/>
      <w:szCs w:val="40"/>
    </w:rPr>
  </w:style>
  <w:style w:type="character" w:styleId="1017" w:customStyle="1">
    <w:name w:val="Heading 2 Char"/>
    <w:link w:val="828"/>
    <w:uiPriority w:val="9"/>
    <w:qFormat/>
    <w:rPr>
      <w:rFonts w:ascii="Arial" w:hAnsi="Arial" w:eastAsia="Arial" w:cs="Arial"/>
      <w:sz w:val="34"/>
    </w:rPr>
  </w:style>
  <w:style w:type="character" w:styleId="1018" w:customStyle="1">
    <w:name w:val="Heading 3 Char"/>
    <w:link w:val="828"/>
    <w:uiPriority w:val="9"/>
    <w:qFormat/>
    <w:rPr>
      <w:rFonts w:ascii="Arial" w:hAnsi="Arial" w:eastAsia="Arial" w:cs="Arial"/>
      <w:sz w:val="30"/>
      <w:szCs w:val="30"/>
    </w:rPr>
  </w:style>
  <w:style w:type="character" w:styleId="1019" w:customStyle="1">
    <w:name w:val="Heading 4 Char"/>
    <w:link w:val="828"/>
    <w:uiPriority w:val="9"/>
    <w:qFormat/>
    <w:rPr>
      <w:rFonts w:ascii="Arial" w:hAnsi="Arial" w:eastAsia="Arial" w:cs="Arial"/>
      <w:b/>
      <w:bCs/>
      <w:sz w:val="26"/>
      <w:szCs w:val="26"/>
    </w:rPr>
  </w:style>
  <w:style w:type="character" w:styleId="1020" w:customStyle="1">
    <w:name w:val="Heading 5 Char"/>
    <w:link w:val="828"/>
    <w:uiPriority w:val="9"/>
    <w:qFormat/>
    <w:rPr>
      <w:rFonts w:ascii="Arial" w:hAnsi="Arial" w:eastAsia="Arial" w:cs="Arial"/>
      <w:b/>
      <w:bCs/>
      <w:sz w:val="24"/>
      <w:szCs w:val="24"/>
    </w:rPr>
  </w:style>
  <w:style w:type="character" w:styleId="1021" w:customStyle="1">
    <w:name w:val="Heading 6 Char"/>
    <w:link w:val="828"/>
    <w:uiPriority w:val="9"/>
    <w:qFormat/>
    <w:rPr>
      <w:rFonts w:ascii="Arial" w:hAnsi="Arial" w:eastAsia="Arial" w:cs="Arial"/>
      <w:b/>
      <w:bCs/>
      <w:sz w:val="22"/>
      <w:szCs w:val="22"/>
    </w:rPr>
  </w:style>
  <w:style w:type="character" w:styleId="1022" w:customStyle="1">
    <w:name w:val="Heading 7 Char"/>
    <w:link w:val="828"/>
    <w:uiPriority w:val="9"/>
    <w:qFormat/>
    <w:rPr>
      <w:rFonts w:ascii="Arial" w:hAnsi="Arial" w:eastAsia="Arial" w:cs="Arial"/>
      <w:b/>
      <w:bCs/>
      <w:i/>
      <w:iCs/>
      <w:sz w:val="22"/>
      <w:szCs w:val="22"/>
    </w:rPr>
  </w:style>
  <w:style w:type="character" w:styleId="1023" w:customStyle="1">
    <w:name w:val="Heading 8 Char"/>
    <w:link w:val="828"/>
    <w:uiPriority w:val="9"/>
    <w:qFormat/>
    <w:rPr>
      <w:rFonts w:ascii="Arial" w:hAnsi="Arial" w:eastAsia="Arial" w:cs="Arial"/>
      <w:i/>
      <w:iCs/>
      <w:sz w:val="22"/>
      <w:szCs w:val="22"/>
    </w:rPr>
  </w:style>
  <w:style w:type="character" w:styleId="1024" w:customStyle="1">
    <w:name w:val="Heading 9 Char"/>
    <w:link w:val="828"/>
    <w:uiPriority w:val="9"/>
    <w:qFormat/>
    <w:rPr>
      <w:rFonts w:ascii="Arial" w:hAnsi="Arial" w:eastAsia="Arial" w:cs="Arial"/>
      <w:i/>
      <w:iCs/>
      <w:sz w:val="21"/>
      <w:szCs w:val="21"/>
    </w:rPr>
  </w:style>
  <w:style w:type="character" w:styleId="1025" w:customStyle="1">
    <w:name w:val="Title Char"/>
    <w:link w:val="828"/>
    <w:uiPriority w:val="10"/>
    <w:qFormat/>
    <w:rPr>
      <w:sz w:val="48"/>
      <w:szCs w:val="48"/>
    </w:rPr>
  </w:style>
  <w:style w:type="character" w:styleId="1026" w:customStyle="1">
    <w:name w:val="Subtitle Char"/>
    <w:link w:val="828"/>
    <w:uiPriority w:val="11"/>
    <w:qFormat/>
    <w:rPr>
      <w:sz w:val="24"/>
      <w:szCs w:val="24"/>
    </w:rPr>
  </w:style>
  <w:style w:type="character" w:styleId="1027" w:customStyle="1">
    <w:name w:val="Quote Char"/>
    <w:link w:val="828"/>
    <w:uiPriority w:val="29"/>
    <w:qFormat/>
    <w:rPr>
      <w:i/>
    </w:rPr>
  </w:style>
  <w:style w:type="character" w:styleId="1028" w:customStyle="1">
    <w:name w:val="Intense Quote Char"/>
    <w:link w:val="828"/>
    <w:uiPriority w:val="30"/>
    <w:qFormat/>
    <w:rPr>
      <w:i/>
    </w:rPr>
  </w:style>
  <w:style w:type="character" w:styleId="1029" w:customStyle="1">
    <w:name w:val="Caption Char"/>
    <w:link w:val="828"/>
    <w:uiPriority w:val="99"/>
    <w:qFormat/>
  </w:style>
  <w:style w:type="character" w:styleId="1030" w:customStyle="1">
    <w:name w:val="Footnote Text Char"/>
    <w:link w:val="828"/>
    <w:uiPriority w:val="99"/>
    <w:qFormat/>
    <w:rPr>
      <w:sz w:val="18"/>
    </w:rPr>
  </w:style>
  <w:style w:type="character" w:styleId="1031" w:customStyle="1">
    <w:name w:val="Endnote Text Char"/>
    <w:link w:val="828"/>
    <w:uiPriority w:val="99"/>
    <w:qFormat/>
    <w:rPr>
      <w:sz w:val="20"/>
    </w:rPr>
  </w:style>
  <w:style w:type="paragraph" w:styleId="1032" w:customStyle="1">
    <w:name w:val="列表段落"/>
    <w:basedOn w:val="828"/>
    <w:uiPriority w:val="0"/>
    <w:qFormat/>
    <w:pPr>
      <w:contextualSpacing/>
      <w:ind w:left="720"/>
    </w:pPr>
  </w:style>
  <w:style w:type="paragraph" w:styleId="1033" w:customStyle="1">
    <w:name w:val="无间隔"/>
    <w:uiPriority w:val="99"/>
    <w:qFormat/>
    <w:rPr>
      <w:rFonts w:hint="default" w:ascii="Times New Roman" w:hAnsi="Times New Roman" w:eastAsia="宋体" w:cs="Times New Roman"/>
      <w:lang w:val="en-US" w:eastAsia="zh-CN" w:bidi="ar-SA"/>
    </w:rPr>
  </w:style>
  <w:style w:type="paragraph" w:styleId="1034" w:customStyle="1">
    <w:name w:val="引用"/>
    <w:basedOn w:val="828"/>
    <w:next w:val="828"/>
    <w:link w:val="1035"/>
    <w:uiPriority w:val="29"/>
    <w:qFormat/>
    <w:pPr>
      <w:ind w:left="720" w:right="720"/>
    </w:pPr>
    <w:rPr>
      <w:i/>
    </w:rPr>
  </w:style>
  <w:style w:type="character" w:styleId="1035" w:customStyle="1">
    <w:name w:val="引用 字符"/>
    <w:link w:val="1034"/>
    <w:uiPriority w:val="29"/>
    <w:qFormat/>
    <w:rPr>
      <w:i/>
    </w:rPr>
  </w:style>
  <w:style w:type="paragraph" w:styleId="1036" w:customStyle="1">
    <w:name w:val="明显引用"/>
    <w:basedOn w:val="828"/>
    <w:next w:val="828"/>
    <w:link w:val="10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7" w:customStyle="1">
    <w:name w:val="明显引用 字符"/>
    <w:link w:val="1036"/>
    <w:uiPriority w:val="30"/>
    <w:qFormat/>
    <w:rPr>
      <w:i/>
    </w:rPr>
  </w:style>
  <w:style w:type="character" w:styleId="1038" w:customStyle="1">
    <w:name w:val="Header Char"/>
    <w:link w:val="828"/>
    <w:uiPriority w:val="99"/>
    <w:qFormat/>
  </w:style>
  <w:style w:type="character" w:styleId="1039" w:customStyle="1">
    <w:name w:val="Footer Char"/>
    <w:link w:val="828"/>
    <w:uiPriority w:val="99"/>
    <w:qFormat/>
  </w:style>
  <w:style w:type="table" w:styleId="1040" w:customStyle="1">
    <w:name w:val="Table Grid Light"/>
    <w:basedOn w:val="893"/>
    <w:uiPriority w:val="59"/>
    <w:qFormat/>
    <w:tblPr/>
  </w:style>
  <w:style w:type="table" w:styleId="1041" w:customStyle="1">
    <w:name w:val="Grid Table 1 Light - Accent 1"/>
    <w:basedOn w:val="893"/>
    <w:uiPriority w:val="99"/>
    <w:qFormat/>
    <w:tblPr/>
  </w:style>
  <w:style w:type="table" w:styleId="1042" w:customStyle="1">
    <w:name w:val="Grid Table 1 Light - Accent 2"/>
    <w:basedOn w:val="893"/>
    <w:uiPriority w:val="99"/>
    <w:qFormat/>
    <w:tblPr/>
  </w:style>
  <w:style w:type="table" w:styleId="1043" w:customStyle="1">
    <w:name w:val="Grid Table 1 Light - Accent 3"/>
    <w:basedOn w:val="893"/>
    <w:uiPriority w:val="99"/>
    <w:qFormat/>
    <w:tblPr/>
  </w:style>
  <w:style w:type="table" w:styleId="1044" w:customStyle="1">
    <w:name w:val="Grid Table 1 Light - Accent 4"/>
    <w:basedOn w:val="893"/>
    <w:uiPriority w:val="99"/>
    <w:qFormat/>
    <w:tblPr/>
  </w:style>
  <w:style w:type="table" w:styleId="1045" w:customStyle="1">
    <w:name w:val="Grid Table 1 Light - Accent 5"/>
    <w:basedOn w:val="893"/>
    <w:uiPriority w:val="99"/>
    <w:qFormat/>
    <w:tblPr/>
  </w:style>
  <w:style w:type="table" w:styleId="1046" w:customStyle="1">
    <w:name w:val="Grid Table 1 Light - Accent 6"/>
    <w:basedOn w:val="893"/>
    <w:uiPriority w:val="99"/>
    <w:qFormat/>
    <w:tblPr/>
  </w:style>
  <w:style w:type="table" w:styleId="1047" w:customStyle="1">
    <w:name w:val="Grid Table 2 - Accent 1"/>
    <w:basedOn w:val="893"/>
    <w:uiPriority w:val="99"/>
    <w:qFormat/>
    <w:tblPr/>
  </w:style>
  <w:style w:type="table" w:styleId="1048" w:customStyle="1">
    <w:name w:val="Grid Table 2 - Accent 2"/>
    <w:basedOn w:val="893"/>
    <w:uiPriority w:val="99"/>
    <w:qFormat/>
    <w:tblPr/>
  </w:style>
  <w:style w:type="table" w:styleId="1049" w:customStyle="1">
    <w:name w:val="Grid Table 2 - Accent 3"/>
    <w:basedOn w:val="893"/>
    <w:uiPriority w:val="99"/>
    <w:qFormat/>
    <w:tblPr/>
  </w:style>
  <w:style w:type="table" w:styleId="1050" w:customStyle="1">
    <w:name w:val="Grid Table 2 - Accent 4"/>
    <w:basedOn w:val="893"/>
    <w:uiPriority w:val="99"/>
    <w:qFormat/>
    <w:tblPr/>
  </w:style>
  <w:style w:type="table" w:styleId="1051" w:customStyle="1">
    <w:name w:val="Grid Table 2 - Accent 5"/>
    <w:basedOn w:val="893"/>
    <w:uiPriority w:val="99"/>
    <w:qFormat/>
    <w:tblPr/>
  </w:style>
  <w:style w:type="table" w:styleId="1052" w:customStyle="1">
    <w:name w:val="Grid Table 2 - Accent 6"/>
    <w:basedOn w:val="893"/>
    <w:uiPriority w:val="99"/>
    <w:qFormat/>
    <w:tblPr/>
  </w:style>
  <w:style w:type="table" w:styleId="1053" w:customStyle="1">
    <w:name w:val="Grid Table 3 - Accent 1"/>
    <w:basedOn w:val="893"/>
    <w:uiPriority w:val="99"/>
    <w:qFormat/>
    <w:tblPr/>
  </w:style>
  <w:style w:type="table" w:styleId="1054" w:customStyle="1">
    <w:name w:val="Grid Table 3 - Accent 2"/>
    <w:basedOn w:val="893"/>
    <w:uiPriority w:val="99"/>
    <w:qFormat/>
    <w:tblPr/>
  </w:style>
  <w:style w:type="table" w:styleId="1055" w:customStyle="1">
    <w:name w:val="Grid Table 3 - Accent 3"/>
    <w:basedOn w:val="893"/>
    <w:uiPriority w:val="99"/>
    <w:qFormat/>
    <w:tblPr/>
  </w:style>
  <w:style w:type="table" w:styleId="1056" w:customStyle="1">
    <w:name w:val="Grid Table 3 - Accent 4"/>
    <w:basedOn w:val="893"/>
    <w:uiPriority w:val="99"/>
    <w:qFormat/>
    <w:tblPr/>
  </w:style>
  <w:style w:type="table" w:styleId="1057" w:customStyle="1">
    <w:name w:val="Grid Table 3 - Accent 5"/>
    <w:basedOn w:val="893"/>
    <w:uiPriority w:val="99"/>
    <w:qFormat/>
    <w:tblPr/>
  </w:style>
  <w:style w:type="table" w:styleId="1058" w:customStyle="1">
    <w:name w:val="Grid Table 3 - Accent 6"/>
    <w:basedOn w:val="893"/>
    <w:uiPriority w:val="99"/>
    <w:qFormat/>
    <w:tblPr/>
  </w:style>
  <w:style w:type="table" w:styleId="1059" w:customStyle="1">
    <w:name w:val="Grid Table 4 - Accent 1"/>
    <w:basedOn w:val="893"/>
    <w:uiPriority w:val="59"/>
    <w:qFormat/>
    <w:tblPr/>
  </w:style>
  <w:style w:type="table" w:styleId="1060" w:customStyle="1">
    <w:name w:val="Grid Table 4 - Accent 2"/>
    <w:basedOn w:val="893"/>
    <w:uiPriority w:val="59"/>
    <w:qFormat/>
    <w:tblPr/>
  </w:style>
  <w:style w:type="table" w:styleId="1061" w:customStyle="1">
    <w:name w:val="Grid Table 4 - Accent 3"/>
    <w:basedOn w:val="893"/>
    <w:uiPriority w:val="59"/>
    <w:qFormat/>
    <w:tblPr/>
  </w:style>
  <w:style w:type="table" w:styleId="1062" w:customStyle="1">
    <w:name w:val="Grid Table 4 - Accent 4"/>
    <w:basedOn w:val="893"/>
    <w:uiPriority w:val="59"/>
    <w:qFormat/>
    <w:tblPr/>
  </w:style>
  <w:style w:type="table" w:styleId="1063" w:customStyle="1">
    <w:name w:val="Grid Table 4 - Accent 5"/>
    <w:basedOn w:val="893"/>
    <w:uiPriority w:val="59"/>
    <w:qFormat/>
    <w:tblPr/>
  </w:style>
  <w:style w:type="table" w:styleId="1064" w:customStyle="1">
    <w:name w:val="Grid Table 4 - Accent 6"/>
    <w:basedOn w:val="893"/>
    <w:uiPriority w:val="59"/>
    <w:qFormat/>
    <w:tblPr/>
  </w:style>
  <w:style w:type="table" w:styleId="1065" w:customStyle="1">
    <w:name w:val="Grid Table 5 Dark- Accent 1"/>
    <w:basedOn w:val="893"/>
    <w:uiPriority w:val="99"/>
    <w:qFormat/>
    <w:tblPr/>
  </w:style>
  <w:style w:type="table" w:styleId="1066" w:customStyle="1">
    <w:name w:val="Grid Table 5 Dark - Accent 2"/>
    <w:basedOn w:val="893"/>
    <w:uiPriority w:val="99"/>
    <w:qFormat/>
    <w:tblPr/>
  </w:style>
  <w:style w:type="table" w:styleId="1067" w:customStyle="1">
    <w:name w:val="Grid Table 5 Dark - Accent 3"/>
    <w:basedOn w:val="893"/>
    <w:uiPriority w:val="99"/>
    <w:qFormat/>
    <w:tblPr/>
  </w:style>
  <w:style w:type="table" w:styleId="1068" w:customStyle="1">
    <w:name w:val="Grid Table 5 Dark- Accent 4"/>
    <w:basedOn w:val="893"/>
    <w:uiPriority w:val="99"/>
    <w:qFormat/>
    <w:tblPr/>
  </w:style>
  <w:style w:type="table" w:styleId="1069" w:customStyle="1">
    <w:name w:val="Grid Table 5 Dark - Accent 5"/>
    <w:basedOn w:val="893"/>
    <w:uiPriority w:val="99"/>
    <w:qFormat/>
    <w:tblPr/>
  </w:style>
  <w:style w:type="table" w:styleId="1070" w:customStyle="1">
    <w:name w:val="Grid Table 5 Dark - Accent 6"/>
    <w:basedOn w:val="893"/>
    <w:uiPriority w:val="99"/>
    <w:qFormat/>
    <w:tblPr/>
  </w:style>
  <w:style w:type="table" w:styleId="1071" w:customStyle="1">
    <w:name w:val="Grid Table 6 Colorful - Accent 1"/>
    <w:basedOn w:val="893"/>
    <w:uiPriority w:val="99"/>
    <w:qFormat/>
    <w:tblPr/>
  </w:style>
  <w:style w:type="table" w:styleId="1072" w:customStyle="1">
    <w:name w:val="Grid Table 6 Colorful - Accent 2"/>
    <w:basedOn w:val="893"/>
    <w:uiPriority w:val="99"/>
    <w:qFormat/>
    <w:tblPr/>
  </w:style>
  <w:style w:type="table" w:styleId="1073" w:customStyle="1">
    <w:name w:val="Grid Table 6 Colorful - Accent 3"/>
    <w:basedOn w:val="893"/>
    <w:uiPriority w:val="99"/>
    <w:qFormat/>
    <w:tblPr/>
  </w:style>
  <w:style w:type="table" w:styleId="1074" w:customStyle="1">
    <w:name w:val="Grid Table 6 Colorful - Accent 4"/>
    <w:basedOn w:val="893"/>
    <w:uiPriority w:val="99"/>
    <w:qFormat/>
    <w:tblPr/>
  </w:style>
  <w:style w:type="table" w:styleId="1075" w:customStyle="1">
    <w:name w:val="Grid Table 6 Colorful - Accent 5"/>
    <w:basedOn w:val="893"/>
    <w:uiPriority w:val="99"/>
    <w:qFormat/>
    <w:tblPr/>
  </w:style>
  <w:style w:type="table" w:styleId="1076" w:customStyle="1">
    <w:name w:val="Grid Table 6 Colorful - Accent 6"/>
    <w:basedOn w:val="893"/>
    <w:uiPriority w:val="99"/>
    <w:qFormat/>
    <w:tblPr/>
  </w:style>
  <w:style w:type="table" w:styleId="1077" w:customStyle="1">
    <w:name w:val="Grid Table 7 Colorful - Accent 1"/>
    <w:basedOn w:val="893"/>
    <w:uiPriority w:val="99"/>
    <w:qFormat/>
    <w:tblPr/>
  </w:style>
  <w:style w:type="table" w:styleId="1078" w:customStyle="1">
    <w:name w:val="Grid Table 7 Colorful - Accent 2"/>
    <w:basedOn w:val="893"/>
    <w:uiPriority w:val="99"/>
    <w:qFormat/>
    <w:tblPr/>
  </w:style>
  <w:style w:type="table" w:styleId="1079" w:customStyle="1">
    <w:name w:val="Grid Table 7 Colorful - Accent 3"/>
    <w:basedOn w:val="893"/>
    <w:uiPriority w:val="99"/>
    <w:qFormat/>
    <w:tblPr/>
  </w:style>
  <w:style w:type="table" w:styleId="1080" w:customStyle="1">
    <w:name w:val="Grid Table 7 Colorful - Accent 4"/>
    <w:basedOn w:val="893"/>
    <w:uiPriority w:val="99"/>
    <w:qFormat/>
    <w:tblPr/>
  </w:style>
  <w:style w:type="table" w:styleId="1081" w:customStyle="1">
    <w:name w:val="Grid Table 7 Colorful - Accent 5"/>
    <w:basedOn w:val="893"/>
    <w:uiPriority w:val="99"/>
    <w:qFormat/>
    <w:tblPr/>
  </w:style>
  <w:style w:type="table" w:styleId="1082" w:customStyle="1">
    <w:name w:val="Grid Table 7 Colorful - Accent 6"/>
    <w:basedOn w:val="893"/>
    <w:uiPriority w:val="99"/>
    <w:qFormat/>
    <w:tblPr/>
  </w:style>
  <w:style w:type="table" w:styleId="1083" w:customStyle="1">
    <w:name w:val="List Table 1 Light - Accent 1"/>
    <w:basedOn w:val="893"/>
    <w:uiPriority w:val="99"/>
    <w:qFormat/>
    <w:tblPr/>
  </w:style>
  <w:style w:type="table" w:styleId="1084" w:customStyle="1">
    <w:name w:val="List Table 1 Light - Accent 2"/>
    <w:basedOn w:val="893"/>
    <w:uiPriority w:val="99"/>
    <w:qFormat/>
    <w:tblPr/>
  </w:style>
  <w:style w:type="table" w:styleId="1085" w:customStyle="1">
    <w:name w:val="List Table 1 Light - Accent 3"/>
    <w:basedOn w:val="893"/>
    <w:uiPriority w:val="99"/>
    <w:qFormat/>
    <w:tblPr/>
  </w:style>
  <w:style w:type="table" w:styleId="1086" w:customStyle="1">
    <w:name w:val="List Table 1 Light - Accent 4"/>
    <w:basedOn w:val="893"/>
    <w:uiPriority w:val="99"/>
    <w:qFormat/>
    <w:tblPr/>
  </w:style>
  <w:style w:type="table" w:styleId="1087" w:customStyle="1">
    <w:name w:val="List Table 1 Light - Accent 5"/>
    <w:basedOn w:val="893"/>
    <w:uiPriority w:val="99"/>
    <w:qFormat/>
    <w:tblPr/>
  </w:style>
  <w:style w:type="table" w:styleId="1088" w:customStyle="1">
    <w:name w:val="List Table 1 Light - Accent 6"/>
    <w:basedOn w:val="893"/>
    <w:uiPriority w:val="99"/>
    <w:qFormat/>
    <w:tblPr/>
  </w:style>
  <w:style w:type="table" w:styleId="1089" w:customStyle="1">
    <w:name w:val="List Table 2 - Accent 1"/>
    <w:basedOn w:val="893"/>
    <w:uiPriority w:val="99"/>
    <w:qFormat/>
    <w:tblPr/>
  </w:style>
  <w:style w:type="table" w:styleId="1090" w:customStyle="1">
    <w:name w:val="List Table 2 - Accent 2"/>
    <w:basedOn w:val="893"/>
    <w:uiPriority w:val="99"/>
    <w:qFormat/>
    <w:tblPr/>
  </w:style>
  <w:style w:type="table" w:styleId="1091" w:customStyle="1">
    <w:name w:val="List Table 2 - Accent 3"/>
    <w:basedOn w:val="893"/>
    <w:uiPriority w:val="99"/>
    <w:qFormat/>
    <w:tblPr/>
  </w:style>
  <w:style w:type="table" w:styleId="1092" w:customStyle="1">
    <w:name w:val="List Table 2 - Accent 4"/>
    <w:basedOn w:val="893"/>
    <w:uiPriority w:val="99"/>
    <w:qFormat/>
    <w:tblPr/>
  </w:style>
  <w:style w:type="table" w:styleId="1093" w:customStyle="1">
    <w:name w:val="List Table 2 - Accent 5"/>
    <w:basedOn w:val="893"/>
    <w:uiPriority w:val="99"/>
    <w:qFormat/>
    <w:tblPr/>
  </w:style>
  <w:style w:type="table" w:styleId="1094" w:customStyle="1">
    <w:name w:val="List Table 2 - Accent 6"/>
    <w:basedOn w:val="893"/>
    <w:uiPriority w:val="99"/>
    <w:qFormat/>
    <w:tblPr/>
  </w:style>
  <w:style w:type="table" w:styleId="1095" w:customStyle="1">
    <w:name w:val="List Table 3 - Accent 1"/>
    <w:basedOn w:val="893"/>
    <w:uiPriority w:val="99"/>
    <w:qFormat/>
    <w:tblPr/>
  </w:style>
  <w:style w:type="table" w:styleId="1096" w:customStyle="1">
    <w:name w:val="List Table 3 - Accent 2"/>
    <w:basedOn w:val="893"/>
    <w:uiPriority w:val="99"/>
    <w:qFormat/>
    <w:tblPr/>
  </w:style>
  <w:style w:type="table" w:styleId="1097" w:customStyle="1">
    <w:name w:val="List Table 3 - Accent 3"/>
    <w:basedOn w:val="893"/>
    <w:uiPriority w:val="99"/>
    <w:qFormat/>
    <w:tblPr/>
  </w:style>
  <w:style w:type="table" w:styleId="1098" w:customStyle="1">
    <w:name w:val="List Table 3 - Accent 4"/>
    <w:basedOn w:val="893"/>
    <w:uiPriority w:val="99"/>
    <w:qFormat/>
    <w:tblPr/>
  </w:style>
  <w:style w:type="table" w:styleId="1099" w:customStyle="1">
    <w:name w:val="List Table 3 - Accent 5"/>
    <w:basedOn w:val="893"/>
    <w:uiPriority w:val="99"/>
    <w:qFormat/>
    <w:tblPr/>
  </w:style>
  <w:style w:type="table" w:styleId="1100" w:customStyle="1">
    <w:name w:val="List Table 3 - Accent 6"/>
    <w:basedOn w:val="893"/>
    <w:uiPriority w:val="99"/>
    <w:qFormat/>
    <w:tblPr/>
  </w:style>
  <w:style w:type="table" w:styleId="1101" w:customStyle="1">
    <w:name w:val="List Table 4 - Accent 1"/>
    <w:basedOn w:val="893"/>
    <w:uiPriority w:val="99"/>
    <w:qFormat/>
    <w:tblPr/>
  </w:style>
  <w:style w:type="table" w:styleId="1102" w:customStyle="1">
    <w:name w:val="List Table 4 - Accent 2"/>
    <w:basedOn w:val="893"/>
    <w:uiPriority w:val="99"/>
    <w:qFormat/>
    <w:tblPr/>
  </w:style>
  <w:style w:type="table" w:styleId="1103" w:customStyle="1">
    <w:name w:val="List Table 4 - Accent 3"/>
    <w:basedOn w:val="893"/>
    <w:uiPriority w:val="99"/>
    <w:qFormat/>
    <w:tblPr/>
  </w:style>
  <w:style w:type="table" w:styleId="1104" w:customStyle="1">
    <w:name w:val="List Table 4 - Accent 4"/>
    <w:basedOn w:val="893"/>
    <w:uiPriority w:val="99"/>
    <w:qFormat/>
    <w:tblPr/>
  </w:style>
  <w:style w:type="table" w:styleId="1105" w:customStyle="1">
    <w:name w:val="List Table 4 - Accent 5"/>
    <w:basedOn w:val="893"/>
    <w:uiPriority w:val="99"/>
    <w:qFormat/>
    <w:tblPr/>
  </w:style>
  <w:style w:type="table" w:styleId="1106" w:customStyle="1">
    <w:name w:val="List Table 4 - Accent 6"/>
    <w:basedOn w:val="893"/>
    <w:uiPriority w:val="99"/>
    <w:qFormat/>
    <w:tblPr/>
  </w:style>
  <w:style w:type="table" w:styleId="1107" w:customStyle="1">
    <w:name w:val="List Table 5 Dark - Accent 1"/>
    <w:basedOn w:val="893"/>
    <w:uiPriority w:val="99"/>
    <w:qFormat/>
    <w:tblPr/>
  </w:style>
  <w:style w:type="table" w:styleId="1108" w:customStyle="1">
    <w:name w:val="List Table 5 Dark - Accent 2"/>
    <w:basedOn w:val="893"/>
    <w:uiPriority w:val="99"/>
    <w:qFormat/>
    <w:tblPr/>
  </w:style>
  <w:style w:type="table" w:styleId="1109" w:customStyle="1">
    <w:name w:val="List Table 5 Dark - Accent 3"/>
    <w:basedOn w:val="893"/>
    <w:uiPriority w:val="99"/>
    <w:qFormat/>
    <w:tblPr/>
  </w:style>
  <w:style w:type="table" w:styleId="1110" w:customStyle="1">
    <w:name w:val="List Table 5 Dark - Accent 4"/>
    <w:basedOn w:val="893"/>
    <w:uiPriority w:val="99"/>
    <w:qFormat/>
    <w:tblPr/>
  </w:style>
  <w:style w:type="table" w:styleId="1111" w:customStyle="1">
    <w:name w:val="List Table 5 Dark - Accent 5"/>
    <w:basedOn w:val="893"/>
    <w:uiPriority w:val="99"/>
    <w:qFormat/>
    <w:tblPr/>
  </w:style>
  <w:style w:type="table" w:styleId="1112" w:customStyle="1">
    <w:name w:val="List Table 5 Dark - Accent 6"/>
    <w:basedOn w:val="893"/>
    <w:uiPriority w:val="99"/>
    <w:qFormat/>
    <w:tblPr/>
  </w:style>
  <w:style w:type="table" w:styleId="1113" w:customStyle="1">
    <w:name w:val="List Table 6 Colorful - Accent 1"/>
    <w:basedOn w:val="893"/>
    <w:uiPriority w:val="99"/>
    <w:qFormat/>
    <w:tblPr/>
  </w:style>
  <w:style w:type="table" w:styleId="1114" w:customStyle="1">
    <w:name w:val="List Table 6 Colorful - Accent 2"/>
    <w:basedOn w:val="893"/>
    <w:uiPriority w:val="99"/>
    <w:qFormat/>
    <w:tblPr/>
  </w:style>
  <w:style w:type="table" w:styleId="1115" w:customStyle="1">
    <w:name w:val="List Table 6 Colorful - Accent 3"/>
    <w:basedOn w:val="893"/>
    <w:uiPriority w:val="99"/>
    <w:qFormat/>
    <w:tblPr/>
  </w:style>
  <w:style w:type="table" w:styleId="1116" w:customStyle="1">
    <w:name w:val="List Table 6 Colorful - Accent 4"/>
    <w:basedOn w:val="893"/>
    <w:uiPriority w:val="99"/>
    <w:qFormat/>
    <w:tblPr/>
  </w:style>
  <w:style w:type="table" w:styleId="1117" w:customStyle="1">
    <w:name w:val="List Table 6 Colorful - Accent 5"/>
    <w:basedOn w:val="893"/>
    <w:uiPriority w:val="99"/>
    <w:qFormat/>
    <w:tblPr/>
  </w:style>
  <w:style w:type="table" w:styleId="1118" w:customStyle="1">
    <w:name w:val="List Table 6 Colorful - Accent 6"/>
    <w:basedOn w:val="893"/>
    <w:uiPriority w:val="99"/>
    <w:qFormat/>
    <w:tblPr/>
  </w:style>
  <w:style w:type="table" w:styleId="1119" w:customStyle="1">
    <w:name w:val="List Table 7 Colorful - Accent 1"/>
    <w:basedOn w:val="893"/>
    <w:uiPriority w:val="99"/>
    <w:qFormat/>
    <w:tblPr/>
  </w:style>
  <w:style w:type="table" w:styleId="1120" w:customStyle="1">
    <w:name w:val="List Table 7 Colorful - Accent 2"/>
    <w:basedOn w:val="893"/>
    <w:uiPriority w:val="99"/>
    <w:qFormat/>
    <w:tblPr/>
  </w:style>
  <w:style w:type="table" w:styleId="1121" w:customStyle="1">
    <w:name w:val="List Table 7 Colorful - Accent 3"/>
    <w:basedOn w:val="893"/>
    <w:uiPriority w:val="99"/>
    <w:qFormat/>
    <w:tblPr/>
  </w:style>
  <w:style w:type="table" w:styleId="1122" w:customStyle="1">
    <w:name w:val="List Table 7 Colorful - Accent 4"/>
    <w:basedOn w:val="893"/>
    <w:uiPriority w:val="99"/>
    <w:qFormat/>
    <w:tblPr/>
  </w:style>
  <w:style w:type="table" w:styleId="1123" w:customStyle="1">
    <w:name w:val="List Table 7 Colorful - Accent 5"/>
    <w:basedOn w:val="893"/>
    <w:uiPriority w:val="99"/>
    <w:qFormat/>
    <w:tblPr/>
  </w:style>
  <w:style w:type="table" w:styleId="1124" w:customStyle="1">
    <w:name w:val="List Table 7 Colorful - Accent 6"/>
    <w:basedOn w:val="893"/>
    <w:uiPriority w:val="99"/>
    <w:qFormat/>
    <w:tblPr/>
  </w:style>
  <w:style w:type="table" w:styleId="1125" w:customStyle="1">
    <w:name w:val="Lined - Accent"/>
    <w:basedOn w:val="893"/>
    <w:uiPriority w:val="99"/>
    <w:qFormat/>
    <w:rPr>
      <w:color w:val="404040"/>
    </w:rPr>
    <w:tblPr/>
  </w:style>
  <w:style w:type="table" w:styleId="1126" w:customStyle="1">
    <w:name w:val="Lined - Accent 1"/>
    <w:basedOn w:val="893"/>
    <w:uiPriority w:val="99"/>
    <w:qFormat/>
    <w:rPr>
      <w:color w:val="404040"/>
    </w:rPr>
    <w:tblPr/>
  </w:style>
  <w:style w:type="table" w:styleId="1127" w:customStyle="1">
    <w:name w:val="Lined - Accent 2"/>
    <w:basedOn w:val="893"/>
    <w:uiPriority w:val="99"/>
    <w:qFormat/>
    <w:rPr>
      <w:color w:val="404040"/>
    </w:rPr>
    <w:tblPr/>
  </w:style>
  <w:style w:type="table" w:styleId="1128" w:customStyle="1">
    <w:name w:val="Lined - Accent 3"/>
    <w:basedOn w:val="893"/>
    <w:uiPriority w:val="99"/>
    <w:qFormat/>
    <w:rPr>
      <w:color w:val="404040"/>
    </w:rPr>
    <w:tblPr/>
  </w:style>
  <w:style w:type="table" w:styleId="1129" w:customStyle="1">
    <w:name w:val="Lined - Accent 4"/>
    <w:basedOn w:val="893"/>
    <w:uiPriority w:val="99"/>
    <w:qFormat/>
    <w:rPr>
      <w:color w:val="404040"/>
    </w:rPr>
    <w:tblPr/>
  </w:style>
  <w:style w:type="table" w:styleId="1130" w:customStyle="1">
    <w:name w:val="Lined - Accent 5"/>
    <w:basedOn w:val="893"/>
    <w:uiPriority w:val="99"/>
    <w:qFormat/>
    <w:rPr>
      <w:color w:val="404040"/>
    </w:rPr>
    <w:tblPr/>
  </w:style>
  <w:style w:type="table" w:styleId="1131" w:customStyle="1">
    <w:name w:val="Lined - Accent 6"/>
    <w:basedOn w:val="893"/>
    <w:uiPriority w:val="99"/>
    <w:qFormat/>
    <w:rPr>
      <w:color w:val="404040"/>
    </w:rPr>
    <w:tblPr/>
  </w:style>
  <w:style w:type="table" w:styleId="1132" w:customStyle="1">
    <w:name w:val="Bordered &amp; Lined - Accent"/>
    <w:basedOn w:val="893"/>
    <w:uiPriority w:val="99"/>
    <w:qFormat/>
    <w:rPr>
      <w:color w:val="404040"/>
    </w:rPr>
    <w:tblPr/>
  </w:style>
  <w:style w:type="table" w:styleId="1133" w:customStyle="1">
    <w:name w:val="Bordered &amp; Lined - Accent 1"/>
    <w:basedOn w:val="893"/>
    <w:uiPriority w:val="99"/>
    <w:qFormat/>
    <w:rPr>
      <w:color w:val="404040"/>
    </w:rPr>
    <w:tblPr/>
  </w:style>
  <w:style w:type="table" w:styleId="1134" w:customStyle="1">
    <w:name w:val="Bordered &amp; Lined - Accent 2"/>
    <w:basedOn w:val="893"/>
    <w:uiPriority w:val="99"/>
    <w:qFormat/>
    <w:rPr>
      <w:color w:val="404040"/>
    </w:rPr>
    <w:tblPr/>
  </w:style>
  <w:style w:type="table" w:styleId="1135" w:customStyle="1">
    <w:name w:val="Bordered &amp; Lined - Accent 3"/>
    <w:basedOn w:val="893"/>
    <w:uiPriority w:val="99"/>
    <w:qFormat/>
    <w:rPr>
      <w:color w:val="404040"/>
    </w:rPr>
    <w:tblPr/>
  </w:style>
  <w:style w:type="table" w:styleId="1136" w:customStyle="1">
    <w:name w:val="Bordered &amp; Lined - Accent 4"/>
    <w:basedOn w:val="893"/>
    <w:uiPriority w:val="99"/>
    <w:qFormat/>
    <w:rPr>
      <w:color w:val="404040"/>
    </w:rPr>
    <w:tblPr/>
  </w:style>
  <w:style w:type="table" w:styleId="1137" w:customStyle="1">
    <w:name w:val="Bordered &amp; Lined - Accent 5"/>
    <w:basedOn w:val="893"/>
    <w:uiPriority w:val="99"/>
    <w:qFormat/>
    <w:rPr>
      <w:color w:val="404040"/>
    </w:rPr>
    <w:tblPr/>
  </w:style>
  <w:style w:type="table" w:styleId="1138" w:customStyle="1">
    <w:name w:val="Bordered &amp; Lined - Accent 6"/>
    <w:basedOn w:val="893"/>
    <w:uiPriority w:val="99"/>
    <w:qFormat/>
    <w:rPr>
      <w:color w:val="404040"/>
    </w:rPr>
    <w:tblPr/>
  </w:style>
  <w:style w:type="table" w:styleId="1139" w:customStyle="1">
    <w:name w:val="Bordered"/>
    <w:basedOn w:val="893"/>
    <w:uiPriority w:val="99"/>
    <w:qFormat/>
    <w:tblPr/>
  </w:style>
  <w:style w:type="table" w:styleId="1140" w:customStyle="1">
    <w:name w:val="Bordered - Accent 1"/>
    <w:basedOn w:val="893"/>
    <w:uiPriority w:val="99"/>
    <w:qFormat/>
    <w:tblPr/>
  </w:style>
  <w:style w:type="table" w:styleId="1141" w:customStyle="1">
    <w:name w:val="Bordered - Accent 2"/>
    <w:basedOn w:val="893"/>
    <w:uiPriority w:val="99"/>
    <w:qFormat/>
    <w:tblPr/>
  </w:style>
  <w:style w:type="table" w:styleId="1142" w:customStyle="1">
    <w:name w:val="Bordered - Accent 3"/>
    <w:basedOn w:val="893"/>
    <w:uiPriority w:val="99"/>
    <w:qFormat/>
    <w:tblPr/>
  </w:style>
  <w:style w:type="table" w:styleId="1143" w:customStyle="1">
    <w:name w:val="Bordered - Accent 4"/>
    <w:basedOn w:val="893"/>
    <w:uiPriority w:val="99"/>
    <w:qFormat/>
    <w:tblPr/>
  </w:style>
  <w:style w:type="table" w:styleId="1144" w:customStyle="1">
    <w:name w:val="Bordered - Accent 5"/>
    <w:basedOn w:val="893"/>
    <w:uiPriority w:val="99"/>
    <w:qFormat/>
    <w:tblPr/>
  </w:style>
  <w:style w:type="table" w:styleId="1145" w:customStyle="1">
    <w:name w:val="Bordered - Accent 6"/>
    <w:basedOn w:val="893"/>
    <w:uiPriority w:val="99"/>
    <w:qFormat/>
    <w:tblPr/>
  </w:style>
  <w:style w:type="paragraph" w:styleId="1146" w:customStyle="1">
    <w:name w:val="TOC 标题11"/>
    <w:uiPriority w:val="39"/>
    <w:unhideWhenUsed/>
    <w:qFormat/>
    <w:rPr>
      <w:rFonts w:hint="default" w:ascii="Times New Roman" w:hAnsi="Times New Roman" w:eastAsia="宋体" w:cs="Times New Roman"/>
      <w:lang w:val="en-US" w:eastAsia="zh-CN" w:bidi="ar-SA"/>
    </w:rPr>
  </w:style>
  <w:style w:type="paragraph" w:styleId="1147" w:customStyle="1">
    <w:name w:val="Normal_0"/>
    <w:uiPriority w:val="0"/>
    <w:qFormat/>
    <w:rPr>
      <w:rFonts w:hint="default" w:ascii="黑体" w:hAnsi="黑体" w:eastAsia="黑体" w:cs="Times New Roman"/>
      <w:b/>
      <w:sz w:val="32"/>
      <w:szCs w:val="24"/>
      <w:lang w:val="en-US" w:eastAsia="zh-CN" w:bidi="ar-SA"/>
    </w:rPr>
  </w:style>
  <w:style w:type="paragraph" w:styleId="1148" w:customStyle="1">
    <w:name w:val="正文1"/>
    <w:next w:val="884"/>
    <w:uiPriority w:val="0"/>
    <w:qFormat/>
    <w:rPr>
      <w:rFonts w:hint="default" w:ascii="Times New Roman" w:hAnsi="Times New Roman" w:eastAsia="Times New Roman" w:cs="Times New Roman"/>
      <w:sz w:val="24"/>
      <w:szCs w:val="24"/>
      <w:lang w:val="en-US" w:eastAsia="zh-CN" w:bidi="ar-SA"/>
    </w:rPr>
  </w:style>
  <w:style w:type="paragraph" w:styleId="1149" w:customStyle="1">
    <w:name w:val="Normal_0_3"/>
    <w:uiPriority w:val="0"/>
    <w:qFormat/>
    <w:rPr>
      <w:rFonts w:hint="default" w:ascii="黑体" w:hAnsi="黑体" w:eastAsia="黑体" w:cs="黑体"/>
      <w:b/>
      <w:sz w:val="32"/>
      <w:szCs w:val="24"/>
      <w:lang w:val="en-US" w:eastAsia="zh-CN" w:bidi="ar-SA"/>
    </w:rPr>
  </w:style>
  <w:style w:type="paragraph" w:styleId="1150" w:customStyle="1">
    <w:name w:val="正文首行缩进 2_0"/>
    <w:basedOn w:val="1151"/>
    <w:uiPriority w:val="0"/>
    <w:qFormat/>
    <w:pPr>
      <w:ind w:left="200" w:firstLine="200"/>
      <w:spacing w:after="120"/>
    </w:pPr>
    <w:rPr>
      <w:rFonts w:ascii="Times New Roman" w:hAnsi="Times New Roman"/>
      <w:sz w:val="24"/>
      <w:szCs w:val="24"/>
    </w:rPr>
  </w:style>
  <w:style w:type="paragraph" w:styleId="1151" w:customStyle="1">
    <w:name w:val="正文文本缩进_0"/>
    <w:basedOn w:val="1152"/>
    <w:uiPriority w:val="0"/>
    <w:qFormat/>
    <w:pPr>
      <w:ind w:firstLine="225"/>
    </w:pPr>
    <w:rPr>
      <w:rFonts w:ascii="仿宋_GB2312" w:eastAsia="仿宋_GB2312"/>
      <w:sz w:val="32"/>
    </w:rPr>
  </w:style>
  <w:style w:type="paragraph" w:styleId="1152" w:customStyle="1">
    <w:name w:val="正文_2"/>
    <w:next w:val="1153"/>
    <w:uiPriority w:val="0"/>
    <w:qFormat/>
    <w:pPr>
      <w:jc w:val="both"/>
      <w:widowControl w:val="off"/>
    </w:pPr>
    <w:rPr>
      <w:rFonts w:hint="default" w:ascii="Calibri" w:hAnsi="Calibri" w:eastAsia="宋体" w:cs="Times New Roman"/>
      <w:sz w:val="21"/>
      <w:szCs w:val="22"/>
      <w:lang w:val="en-US" w:eastAsia="zh-CN" w:bidi="ar-SA"/>
    </w:rPr>
  </w:style>
  <w:style w:type="paragraph" w:styleId="1153" w:customStyle="1">
    <w:name w:val="段_0"/>
    <w:next w:val="1152"/>
    <w:uiPriority w:val="0"/>
    <w:qFormat/>
    <w:pPr>
      <w:ind w:firstLine="200"/>
      <w:jc w:val="both"/>
    </w:pPr>
    <w:rPr>
      <w:rFonts w:hint="default" w:ascii="宋体" w:hAnsi="Times New Roman" w:eastAsia="宋体" w:cs="Times New Roman"/>
      <w:sz w:val="21"/>
      <w:lang w:val="en-US" w:eastAsia="zh-CN" w:bidi="ar-SA"/>
    </w:rPr>
  </w:style>
  <w:style w:type="paragraph" w:styleId="1154" w:customStyle="1">
    <w:name w:val="Normal_0_2"/>
    <w:next w:val="1155"/>
    <w:uiPriority w:val="0"/>
    <w:qFormat/>
    <w:rPr>
      <w:rFonts w:hint="default" w:ascii="黑体" w:hAnsi="黑体" w:eastAsia="黑体" w:cs="黑体"/>
      <w:b/>
      <w:sz w:val="32"/>
      <w:szCs w:val="24"/>
      <w:lang w:val="en-US" w:eastAsia="zh-CN" w:bidi="ar-SA"/>
    </w:rPr>
  </w:style>
  <w:style w:type="paragraph" w:styleId="1155" w:customStyle="1">
    <w:name w:val="Body Text First Indent_1"/>
    <w:basedOn w:val="883"/>
    <w:uiPriority w:val="99"/>
    <w:unhideWhenUsed/>
    <w:qFormat/>
    <w:pPr>
      <w:ind w:firstLine="420"/>
      <w:spacing w:after="120"/>
    </w:pPr>
    <w:rPr>
      <w:rFonts w:eastAsia="Times New Roman"/>
      <w:sz w:val="20"/>
    </w:rPr>
  </w:style>
  <w:style w:type="paragraph" w:styleId="115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7" w:customStyle="1">
    <w:name w:val="Normal_0_1"/>
    <w:next w:val="1158"/>
    <w:uiPriority w:val="0"/>
    <w:qFormat/>
    <w:rPr>
      <w:rFonts w:hint="default" w:ascii="黑体" w:hAnsi="黑体" w:eastAsia="黑体" w:cs="黑体"/>
      <w:b/>
      <w:sz w:val="32"/>
      <w:szCs w:val="24"/>
      <w:lang w:val="en-US" w:eastAsia="zh-CN" w:bidi="ar-SA"/>
    </w:rPr>
  </w:style>
  <w:style w:type="paragraph" w:styleId="1158" w:customStyle="1">
    <w:name w:val="Body Text First Indent_0"/>
    <w:basedOn w:val="1159"/>
    <w:uiPriority w:val="99"/>
    <w:unhideWhenUsed/>
    <w:qFormat/>
    <w:pPr>
      <w:ind w:firstLine="420"/>
      <w:spacing w:after="120"/>
    </w:pPr>
    <w:rPr>
      <w:rFonts w:eastAsia="Times New Roman"/>
    </w:rPr>
  </w:style>
  <w:style w:type="paragraph" w:styleId="1159" w:customStyle="1">
    <w:name w:val="正文3"/>
    <w:next w:val="1160"/>
    <w:uiPriority w:val="0"/>
    <w:qFormat/>
    <w:rPr>
      <w:rFonts w:hint="default" w:ascii="Times New Roman" w:hAnsi="Times New Roman" w:eastAsia="Times New Roman" w:cs="Times New Roman"/>
      <w:sz w:val="24"/>
      <w:szCs w:val="24"/>
      <w:lang w:val="en-US" w:eastAsia="zh-CN" w:bidi="ar-SA"/>
    </w:rPr>
  </w:style>
  <w:style w:type="paragraph" w:styleId="1160" w:customStyle="1">
    <w:name w:val="正文首行缩进3"/>
    <w:basedOn w:val="1148"/>
    <w:uiPriority w:val="99"/>
    <w:unhideWhenUsed/>
    <w:qFormat/>
    <w:pPr>
      <w:ind w:firstLine="420"/>
      <w:spacing w:after="120"/>
    </w:pPr>
    <w:rPr>
      <w:sz w:val="20"/>
    </w:rPr>
  </w:style>
  <w:style w:type="paragraph" w:styleId="1161" w:customStyle="1">
    <w:name w:val="Normal_1_1"/>
    <w:uiPriority w:val="0"/>
    <w:qFormat/>
    <w:rPr>
      <w:rFonts w:hint="default" w:ascii="黑体" w:hAnsi="黑体" w:eastAsia="黑体" w:cs="黑体"/>
      <w:b/>
      <w:sz w:val="32"/>
      <w:szCs w:val="24"/>
      <w:lang w:val="en-US" w:eastAsia="zh-CN" w:bidi="ar-SA"/>
    </w:rPr>
  </w:style>
  <w:style w:type="paragraph" w:styleId="1162"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64" w:customStyle="1">
    <w:name w:val="Normal_2_0"/>
    <w:uiPriority w:val="0"/>
    <w:qFormat/>
    <w:rPr>
      <w:rFonts w:hint="default" w:ascii="黑体" w:hAnsi="黑体" w:eastAsia="黑体" w:cs="黑体"/>
      <w:b/>
      <w:sz w:val="32"/>
      <w:szCs w:val="24"/>
      <w:lang w:val="en-US" w:eastAsia="zh-CN" w:bidi="ar-SA"/>
    </w:rPr>
  </w:style>
  <w:style w:type="paragraph" w:styleId="1165"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Normal_4_0"/>
    <w:uiPriority w:val="0"/>
    <w:qFormat/>
    <w:rPr>
      <w:rFonts w:hint="default" w:ascii="黑体" w:hAnsi="黑体" w:eastAsia="黑体" w:cs="黑体"/>
      <w:b/>
      <w:sz w:val="32"/>
      <w:szCs w:val="24"/>
      <w:lang w:val="en-US" w:eastAsia="zh-CN" w:bidi="ar-SA"/>
    </w:rPr>
  </w:style>
  <w:style w:type="paragraph" w:styleId="116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Normal_6_0"/>
    <w:uiPriority w:val="0"/>
    <w:qFormat/>
    <w:rPr>
      <w:rFonts w:hint="default" w:ascii="黑体" w:hAnsi="黑体" w:eastAsia="黑体" w:cs="黑体"/>
      <w:b/>
      <w:sz w:val="32"/>
      <w:szCs w:val="24"/>
      <w:lang w:val="en-US" w:eastAsia="zh-CN" w:bidi="ar-SA"/>
    </w:rPr>
  </w:style>
  <w:style w:type="paragraph" w:styleId="116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7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72" w:customStyle="1">
    <w:name w:val="Normal_7_0"/>
    <w:uiPriority w:val="0"/>
    <w:qFormat/>
    <w:rPr>
      <w:rFonts w:hint="default" w:ascii="黑体" w:hAnsi="黑体" w:eastAsia="黑体" w:cs="黑体"/>
      <w:b/>
      <w:sz w:val="32"/>
      <w:szCs w:val="24"/>
      <w:lang w:val="en-US" w:eastAsia="zh-CN" w:bidi="ar-SA"/>
    </w:rPr>
  </w:style>
  <w:style w:type="paragraph" w:styleId="1173"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7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75" w:customStyle="1">
    <w:name w:val="Normal_10_0"/>
    <w:uiPriority w:val="0"/>
    <w:qFormat/>
    <w:rPr>
      <w:rFonts w:hint="default" w:ascii="黑体" w:hAnsi="黑体" w:eastAsia="黑体" w:cs="黑体"/>
      <w:b/>
      <w:sz w:val="32"/>
      <w:szCs w:val="24"/>
      <w:lang w:val="en-US" w:eastAsia="zh-CN" w:bidi="ar-SA"/>
    </w:rPr>
  </w:style>
  <w:style w:type="paragraph" w:styleId="1176" w:customStyle="1">
    <w:name w:val="正文_3"/>
    <w:next w:val="1177"/>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正文首行缩进 2_1"/>
    <w:basedOn w:val="1178"/>
    <w:next w:val="1180"/>
    <w:uiPriority w:val="0"/>
    <w:qFormat/>
    <w:pPr>
      <w:ind w:left="200" w:firstLine="200"/>
      <w:spacing w:after="120"/>
    </w:pPr>
    <w:rPr>
      <w:rFonts w:ascii="Times New Roman"/>
      <w:szCs w:val="24"/>
    </w:rPr>
  </w:style>
  <w:style w:type="paragraph" w:styleId="1178" w:customStyle="1">
    <w:name w:val="正文文本缩进_1"/>
    <w:basedOn w:val="1179"/>
    <w:next w:val="1177"/>
    <w:uiPriority w:val="0"/>
    <w:qFormat/>
    <w:pPr>
      <w:ind w:firstLine="225"/>
    </w:pPr>
    <w:rPr>
      <w:rFonts w:ascii="仿宋_GB2312" w:eastAsia="仿宋_GB2312"/>
      <w:sz w:val="32"/>
    </w:rPr>
  </w:style>
  <w:style w:type="paragraph" w:styleId="1179" w:customStyle="1">
    <w:name w:val="正文_18"/>
    <w:next w:val="1178"/>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xl53_0"/>
    <w:next w:val="1176"/>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8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Normal_11_0"/>
    <w:uiPriority w:val="0"/>
    <w:qFormat/>
    <w:rPr>
      <w:rFonts w:hint="default" w:ascii="黑体" w:hAnsi="黑体" w:eastAsia="黑体" w:cs="黑体"/>
      <w:b/>
      <w:sz w:val="32"/>
      <w:szCs w:val="24"/>
      <w:lang w:val="en-US" w:eastAsia="zh-CN" w:bidi="ar-SA"/>
    </w:rPr>
  </w:style>
  <w:style w:type="paragraph" w:styleId="118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8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8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87" w:customStyle="1">
    <w:name w:val="列出段落_2"/>
    <w:basedOn w:val="1185"/>
    <w:uiPriority w:val="34"/>
    <w:qFormat/>
    <w:pPr>
      <w:ind w:firstLine="420"/>
    </w:pPr>
  </w:style>
  <w:style w:type="paragraph" w:styleId="1188" w:customStyle="1">
    <w:name w:val="Normal_13_0"/>
    <w:uiPriority w:val="0"/>
    <w:qFormat/>
    <w:rPr>
      <w:rFonts w:hint="default" w:ascii="黑体" w:hAnsi="黑体" w:eastAsia="黑体" w:cs="黑体"/>
      <w:b/>
      <w:sz w:val="32"/>
      <w:szCs w:val="24"/>
      <w:lang w:val="en-US" w:eastAsia="zh-CN" w:bidi="ar-SA"/>
    </w:rPr>
  </w:style>
  <w:style w:type="paragraph" w:styleId="1189"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纯文本_0_0"/>
    <w:basedOn w:val="1189"/>
    <w:uiPriority w:val="0"/>
    <w:unhideWhenUsed/>
    <w:qFormat/>
    <w:rPr>
      <w:rFonts w:ascii="宋体" w:hAnsi="Courier New"/>
      <w:szCs w:val="21"/>
    </w:rPr>
  </w:style>
  <w:style w:type="paragraph" w:styleId="1191"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Normal_14_0"/>
    <w:uiPriority w:val="0"/>
    <w:qFormat/>
    <w:rPr>
      <w:rFonts w:hint="default" w:ascii="黑体" w:hAnsi="黑体" w:eastAsia="黑体" w:cs="黑体"/>
      <w:b/>
      <w:sz w:val="32"/>
      <w:szCs w:val="24"/>
      <w:lang w:val="en-US" w:eastAsia="zh-CN" w:bidi="ar-SA"/>
    </w:rPr>
  </w:style>
  <w:style w:type="paragraph" w:styleId="119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94" w:customStyle="1">
    <w:name w:val="Normal_15_0"/>
    <w:uiPriority w:val="0"/>
    <w:qFormat/>
    <w:rPr>
      <w:rFonts w:hint="default" w:ascii="黑体" w:hAnsi="黑体" w:eastAsia="黑体" w:cs="黑体"/>
      <w:b/>
      <w:sz w:val="32"/>
      <w:szCs w:val="24"/>
      <w:lang w:val="en-US" w:eastAsia="zh-CN" w:bidi="ar-SA"/>
    </w:rPr>
  </w:style>
  <w:style w:type="paragraph" w:styleId="119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7" w:customStyle="1">
    <w:name w:val="Normal_16_0"/>
    <w:uiPriority w:val="0"/>
    <w:qFormat/>
    <w:rPr>
      <w:rFonts w:hint="default" w:ascii="黑体" w:hAnsi="黑体" w:eastAsia="黑体" w:cs="黑体"/>
      <w:b/>
      <w:sz w:val="32"/>
      <w:szCs w:val="24"/>
      <w:lang w:val="en-US" w:eastAsia="zh-CN" w:bidi="ar-SA"/>
    </w:rPr>
  </w:style>
  <w:style w:type="paragraph" w:styleId="119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9" w:customStyle="1">
    <w:name w:val="Normal_17_0"/>
    <w:uiPriority w:val="0"/>
    <w:qFormat/>
    <w:rPr>
      <w:rFonts w:hint="default" w:ascii="黑体" w:hAnsi="黑体" w:eastAsia="黑体" w:cs="黑体"/>
      <w:b/>
      <w:sz w:val="32"/>
      <w:szCs w:val="24"/>
      <w:lang w:val="en-US" w:eastAsia="zh-CN" w:bidi="ar-SA"/>
    </w:rPr>
  </w:style>
  <w:style w:type="paragraph" w:styleId="1200"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1" w:customStyle="1">
    <w:name w:val="Normal_18_0"/>
    <w:uiPriority w:val="0"/>
    <w:qFormat/>
    <w:rPr>
      <w:rFonts w:hint="default" w:ascii="黑体" w:hAnsi="黑体" w:eastAsia="黑体" w:cs="黑体"/>
      <w:b/>
      <w:sz w:val="32"/>
      <w:szCs w:val="24"/>
      <w:lang w:val="en-US" w:eastAsia="zh-CN" w:bidi="ar-SA"/>
    </w:rPr>
  </w:style>
  <w:style w:type="paragraph" w:styleId="120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0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Normal_14_0_0"/>
    <w:uiPriority w:val="0"/>
    <w:qFormat/>
    <w:rPr>
      <w:rFonts w:hint="default" w:ascii="黑体" w:hAnsi="黑体" w:eastAsia="黑体" w:cs="Times New Roman"/>
      <w:b/>
      <w:sz w:val="32"/>
      <w:szCs w:val="24"/>
      <w:lang w:val="en-US" w:eastAsia="zh-CN" w:bidi="ar-SA"/>
    </w:rPr>
  </w:style>
  <w:style w:type="paragraph" w:styleId="120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7"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208"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1" w:customStyle="1">
    <w:name w:val="Normal Indent_0"/>
    <w:basedOn w:val="969"/>
    <w:uiPriority w:val="0"/>
    <w:qFormat/>
    <w:pPr>
      <w:ind w:firstLine="420"/>
    </w:pPr>
    <w:rPr>
      <w:rFonts w:ascii="宋体" w:eastAsia="Times New Roman"/>
      <w:color w:val="000000"/>
      <w:sz w:val="24"/>
      <w:szCs w:val="20"/>
    </w:rPr>
  </w:style>
  <w:style w:type="paragraph" w:styleId="1212" w:customStyle="1">
    <w:name w:val="Heading 3_0"/>
    <w:basedOn w:val="969"/>
    <w:next w:val="969"/>
    <w:uiPriority w:val="0"/>
    <w:qFormat/>
    <w:pPr>
      <w:keepLines/>
      <w:keepNext/>
      <w:spacing w:before="260" w:after="260" w:line="413" w:lineRule="auto"/>
      <w:outlineLvl w:val="2"/>
    </w:pPr>
    <w:rPr>
      <w:rFonts w:ascii="Times New Roman" w:hAnsi="Times New Roman" w:eastAsia="Times New Roman"/>
      <w:szCs w:val="20"/>
    </w:rPr>
  </w:style>
  <w:style w:type="paragraph" w:styleId="121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5"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216" w:customStyle="1">
    <w:name w:val="Normal_19_1_0"/>
    <w:next w:val="1217"/>
    <w:uiPriority w:val="0"/>
    <w:qFormat/>
    <w:pPr>
      <w:jc w:val="both"/>
      <w:widowControl w:val="off"/>
    </w:pPr>
    <w:rPr>
      <w:rFonts w:hint="default" w:ascii="Calibri" w:hAnsi="Calibri" w:eastAsia="宋体" w:cs="Times New Roman"/>
      <w:szCs w:val="24"/>
      <w:lang w:val="en-US" w:eastAsia="zh-CN" w:bidi="ar-SA"/>
    </w:rPr>
  </w:style>
  <w:style w:type="paragraph" w:styleId="1217" w:customStyle="1">
    <w:name w:val="正文_16_0"/>
    <w:basedOn w:val="1179"/>
    <w:next w:val="1177"/>
    <w:uiPriority w:val="0"/>
    <w:qFormat/>
    <w:rPr>
      <w:rFonts w:ascii="Times New Roman" w:hAnsi="Times New Roman"/>
    </w:rPr>
  </w:style>
  <w:style w:type="paragraph" w:styleId="1218" w:customStyle="1">
    <w:name w:val="Normal_19_0"/>
    <w:basedOn w:val="877"/>
    <w:next w:val="1219"/>
    <w:uiPriority w:val="0"/>
    <w:qFormat/>
    <w:rPr>
      <w:szCs w:val="24"/>
    </w:rPr>
  </w:style>
  <w:style w:type="paragraph" w:styleId="1219" w:customStyle="1">
    <w:name w:val="Body Text First Indent_1_0"/>
    <w:basedOn w:val="1218"/>
    <w:uiPriority w:val="0"/>
    <w:qFormat/>
    <w:pPr>
      <w:ind w:firstLine="100"/>
      <w:spacing w:after="120"/>
    </w:pPr>
  </w:style>
  <w:style w:type="paragraph" w:styleId="1220" w:customStyle="1">
    <w:name w:val="Body Text_0"/>
    <w:basedOn w:val="1218"/>
    <w:uiPriority w:val="0"/>
    <w:qFormat/>
    <w:pPr>
      <w:spacing w:line="60" w:lineRule="auto"/>
    </w:pPr>
    <w:rPr>
      <w:rFonts w:ascii="仿宋_GB2312" w:eastAsia="仿宋_GB2312"/>
      <w:sz w:val="32"/>
    </w:rPr>
  </w:style>
  <w:style w:type="paragraph" w:styleId="1221" w:customStyle="1">
    <w:name w:val="Normal_19_1"/>
    <w:next w:val="969"/>
    <w:uiPriority w:val="0"/>
    <w:qFormat/>
    <w:pPr>
      <w:jc w:val="both"/>
      <w:widowControl w:val="off"/>
    </w:pPr>
    <w:rPr>
      <w:rFonts w:hint="default" w:ascii="Calibri" w:hAnsi="Calibri" w:eastAsia="宋体" w:cs="Times New Roman"/>
      <w:szCs w:val="24"/>
      <w:lang w:val="en-US" w:eastAsia="zh-CN" w:bidi="ar-SA"/>
    </w:rPr>
  </w:style>
  <w:style w:type="paragraph" w:styleId="1222"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223" w:customStyle="1">
    <w:name w:val="正文_7_1"/>
    <w:uiPriority w:val="0"/>
    <w:qFormat/>
    <w:pPr>
      <w:jc w:val="both"/>
      <w:widowControl w:val="off"/>
    </w:pPr>
    <w:rPr>
      <w:rFonts w:hint="default" w:ascii="Calibri" w:hAnsi="Calibri" w:eastAsia="宋体" w:cs="Times New Roman"/>
      <w:lang w:val="en-US" w:eastAsia="zh-CN" w:bidi="ar-SA"/>
    </w:rPr>
  </w:style>
  <w:style w:type="paragraph" w:styleId="1224" w:customStyle="1">
    <w:name w:val="正文1_1"/>
    <w:basedOn w:val="1173"/>
    <w:uiPriority w:val="0"/>
    <w:qFormat/>
    <w:pPr>
      <w:jc w:val="both"/>
      <w:widowControl w:val="off"/>
    </w:pPr>
    <w:rPr>
      <w:sz w:val="20"/>
      <w:szCs w:val="20"/>
    </w:rPr>
  </w:style>
  <w:style w:type="paragraph" w:styleId="1225"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226"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227" w:customStyle="1">
    <w:name w:val="Normal_16_1"/>
    <w:uiPriority w:val="0"/>
    <w:qFormat/>
    <w:rPr>
      <w:rFonts w:hint="default" w:ascii="黑体" w:hAnsi="黑体" w:eastAsia="黑体" w:cs="Times New Roman"/>
      <w:b/>
      <w:sz w:val="32"/>
      <w:szCs w:val="24"/>
      <w:lang w:val="en-US" w:eastAsia="zh-CN" w:bidi="ar-SA"/>
    </w:rPr>
  </w:style>
  <w:style w:type="paragraph" w:styleId="1228" w:customStyle="1">
    <w:name w:val="Normal_19_0_1"/>
    <w:uiPriority w:val="0"/>
    <w:qFormat/>
    <w:rPr>
      <w:rFonts w:hint="default" w:ascii="Tahoma" w:hAnsi="Tahoma" w:eastAsia="微软雅黑" w:cs="Times New Roman"/>
      <w:lang w:val="en-US" w:eastAsia="zh-CN" w:bidi="ar-SA"/>
    </w:rPr>
  </w:style>
  <w:style w:type="paragraph" w:styleId="1229"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230"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231" w:customStyle="1">
    <w:name w:val="Normal_17_0_0"/>
    <w:uiPriority w:val="0"/>
    <w:qFormat/>
    <w:rPr>
      <w:rFonts w:hint="default" w:ascii="黑体" w:hAnsi="黑体" w:eastAsia="黑体" w:cs="Times New Roman"/>
      <w:b/>
      <w:sz w:val="32"/>
      <w:szCs w:val="24"/>
      <w:lang w:val="en-US" w:eastAsia="zh-CN" w:bidi="ar-SA"/>
    </w:rPr>
  </w:style>
  <w:style w:type="paragraph" w:styleId="1232" w:customStyle="1">
    <w:name w:val="Normal_19_0_1_0"/>
    <w:uiPriority w:val="0"/>
    <w:qFormat/>
    <w:rPr>
      <w:rFonts w:hint="default" w:ascii="Tahoma" w:hAnsi="Tahoma" w:eastAsia="微软雅黑" w:cs="Times New Roman"/>
      <w:lang w:val="en-US" w:eastAsia="zh-CN" w:bidi="ar-SA"/>
    </w:rPr>
  </w:style>
  <w:style w:type="paragraph" w:styleId="1233" w:customStyle="1">
    <w:name w:val="Normal_19_3"/>
    <w:next w:val="1234"/>
    <w:uiPriority w:val="0"/>
    <w:qFormat/>
    <w:pPr>
      <w:jc w:val="both"/>
      <w:widowControl w:val="off"/>
    </w:pPr>
    <w:rPr>
      <w:rFonts w:hint="default" w:ascii="Calibri" w:hAnsi="Calibri" w:eastAsia="Times New Roman" w:cs="Times New Roman"/>
      <w:szCs w:val="24"/>
      <w:lang w:val="en-US" w:eastAsia="zh-CN" w:bidi="ar-SA"/>
    </w:rPr>
  </w:style>
  <w:style w:type="paragraph" w:styleId="1234"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35"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36" w:customStyle="1">
    <w:name w:val="custom-tag-placeholder-class"/>
    <w:link w:val="828"/>
    <w:uiPriority w:val="0"/>
    <w:qFormat/>
  </w:style>
  <w:style w:type="paragraph" w:styleId="1237" w:customStyle="1">
    <w:name w:val="Normal_19_0_0"/>
    <w:basedOn w:val="969"/>
    <w:next w:val="1238"/>
    <w:uiPriority w:val="0"/>
    <w:qFormat/>
    <w:rPr>
      <w:rFonts w:ascii="Calibri" w:hAnsi="Calibri" w:eastAsia="Times New Roman"/>
      <w:sz w:val="24"/>
    </w:rPr>
  </w:style>
  <w:style w:type="paragraph" w:styleId="1238" w:customStyle="1">
    <w:name w:val="Body Text First Indent_1_0_0"/>
    <w:basedOn w:val="1237"/>
    <w:uiPriority w:val="0"/>
    <w:qFormat/>
    <w:pPr>
      <w:ind w:firstLine="100"/>
      <w:spacing w:after="120"/>
    </w:pPr>
    <w:rPr>
      <w:rFonts w:eastAsia="Times New Roman"/>
    </w:rPr>
  </w:style>
  <w:style w:type="paragraph" w:styleId="1239" w:customStyle="1">
    <w:name w:val="正文首行缩进1"/>
    <w:basedOn w:val="1240"/>
    <w:uiPriority w:val="0"/>
    <w:qFormat/>
    <w:pPr>
      <w:ind w:firstLine="100"/>
      <w:spacing w:after="120" w:line="240" w:lineRule="auto"/>
    </w:pPr>
    <w:rPr>
      <w:rFonts w:ascii="Times New Roman" w:hAnsi="Times New Roman" w:eastAsia="宋体"/>
      <w:sz w:val="21"/>
    </w:rPr>
  </w:style>
  <w:style w:type="paragraph" w:styleId="1240" w:customStyle="1">
    <w:name w:val="正文文本1"/>
    <w:basedOn w:val="828"/>
    <w:uiPriority w:val="0"/>
    <w:qFormat/>
    <w:pPr>
      <w:spacing w:line="60" w:lineRule="auto"/>
    </w:pPr>
    <w:rPr>
      <w:rFonts w:ascii="仿宋_GB2312" w:eastAsia="仿宋_GB2312"/>
      <w:sz w:val="32"/>
    </w:rPr>
  </w:style>
  <w:style w:type="paragraph" w:styleId="1241" w:customStyle="1">
    <w:name w:val="List Paragraph_0"/>
    <w:basedOn w:val="1152"/>
    <w:uiPriority w:val="0"/>
    <w:qFormat/>
    <w:pPr>
      <w:ind w:firstLine="420"/>
    </w:pPr>
  </w:style>
  <w:style w:type="paragraph" w:styleId="1242" w:customStyle="1">
    <w:name w:val="纯文本_1"/>
    <w:basedOn w:val="880"/>
    <w:uiPriority w:val="0"/>
    <w:qFormat/>
    <w:rPr>
      <w:rFonts w:ascii="宋体" w:hAnsi="Times New Roman"/>
      <w:sz w:val="20"/>
      <w:szCs w:val="21"/>
    </w:rPr>
  </w:style>
  <w:style w:type="paragraph" w:styleId="1243" w:customStyle="1">
    <w:name w:val="正文_16_0_0"/>
    <w:next w:val="1014"/>
    <w:uiPriority w:val="0"/>
    <w:qFormat/>
    <w:pPr>
      <w:jc w:val="both"/>
      <w:widowControl w:val="off"/>
    </w:pPr>
    <w:rPr>
      <w:rFonts w:hint="default" w:ascii="Calibri" w:hAnsi="Calibri" w:eastAsia="宋体" w:cs="Times New Roman"/>
      <w:sz w:val="21"/>
      <w:szCs w:val="22"/>
      <w:lang w:val="en-US" w:eastAsia="zh-CN" w:bidi="ar-SA"/>
    </w:rPr>
  </w:style>
  <w:style w:type="paragraph" w:styleId="1244" w:customStyle="1">
    <w:name w:val="正文_11_0"/>
    <w:basedOn w:val="1014"/>
    <w:uiPriority w:val="0"/>
    <w:qFormat/>
    <w:rPr>
      <w:rFonts w:ascii="Calibri" w:hAnsi="Calibri"/>
      <w:szCs w:val="20"/>
    </w:rPr>
  </w:style>
  <w:style w:type="paragraph" w:styleId="1245" w:customStyle="1">
    <w:name w:val="Normal_19_0_0_0"/>
    <w:basedOn w:val="877"/>
    <w:uiPriority w:val="0"/>
    <w:qFormat/>
    <w:rPr>
      <w:rFonts w:cs="黑体"/>
      <w:szCs w:val="24"/>
    </w:rPr>
  </w:style>
  <w:style w:type="paragraph" w:styleId="1246" w:customStyle="1">
    <w:name w:val="无间隔1"/>
    <w:basedOn w:val="1159"/>
    <w:uiPriority w:val="0"/>
    <w:qFormat/>
    <w:rPr>
      <w:rFonts w:ascii="Calibri" w:hAnsi="Calibri" w:cs="Calibri"/>
    </w:rPr>
  </w:style>
  <w:style w:type="paragraph" w:styleId="1247" w:customStyle="1">
    <w:name w:val="标题 31"/>
    <w:basedOn w:val="1159"/>
    <w:next w:val="1248"/>
    <w:uiPriority w:val="0"/>
    <w:qFormat/>
    <w:pPr>
      <w:keepLines/>
      <w:keepNext/>
      <w:spacing w:before="260" w:after="260" w:line="413" w:lineRule="auto"/>
      <w:outlineLvl w:val="2"/>
    </w:pPr>
    <w:rPr>
      <w:b/>
      <w:sz w:val="32"/>
      <w:szCs w:val="20"/>
    </w:rPr>
  </w:style>
  <w:style w:type="paragraph" w:styleId="1248" w:customStyle="1">
    <w:name w:val="正文缩进1"/>
    <w:basedOn w:val="828"/>
    <w:uiPriority w:val="0"/>
    <w:qFormat/>
    <w:pPr>
      <w:ind w:firstLine="420"/>
      <w:jc w:val="left"/>
    </w:pPr>
    <w:rPr>
      <w:rFonts w:ascii="宋体" w:hAnsi="Calibri" w:eastAsia="宋体" w:cs="Times New Roman"/>
      <w:sz w:val="24"/>
    </w:rPr>
  </w:style>
  <w:style w:type="character" w:styleId="1249" w:customStyle="1">
    <w:name w:val="标题 2 Char_0"/>
    <w:link w:val="1250"/>
    <w:uiPriority w:val="0"/>
    <w:qFormat/>
    <w:rPr>
      <w:rFonts w:ascii="Arial" w:hAnsi="Arial" w:eastAsia="黑体"/>
      <w:b/>
      <w:sz w:val="32"/>
      <w:szCs w:val="22"/>
    </w:rPr>
  </w:style>
  <w:style w:type="paragraph" w:styleId="1250" w:customStyle="1">
    <w:name w:val="标题 21"/>
    <w:basedOn w:val="878"/>
    <w:next w:val="878"/>
    <w:link w:val="1249"/>
    <w:uiPriority w:val="0"/>
    <w:unhideWhenUsed/>
    <w:qFormat/>
    <w:pPr>
      <w:keepLines/>
      <w:keepNext/>
      <w:spacing w:before="260" w:after="260" w:line="413" w:lineRule="auto"/>
      <w:outlineLvl w:val="1"/>
    </w:pPr>
    <w:rPr>
      <w:rFonts w:ascii="Arial" w:hAnsi="Arial"/>
      <w:szCs w:val="22"/>
    </w:rPr>
  </w:style>
  <w:style w:type="paragraph" w:styleId="1251" w:customStyle="1">
    <w:name w:val="Normal_19_1_0_0"/>
    <w:next w:val="1252"/>
    <w:uiPriority w:val="0"/>
    <w:qFormat/>
    <w:pPr>
      <w:jc w:val="both"/>
      <w:widowControl w:val="off"/>
    </w:pPr>
    <w:rPr>
      <w:rFonts w:hint="default" w:ascii="Calibri" w:hAnsi="Calibri" w:eastAsia="宋体" w:cs="Times New Roman"/>
      <w:sz w:val="21"/>
      <w:szCs w:val="24"/>
      <w:lang w:val="en-US" w:eastAsia="zh-CN" w:bidi="ar-SA"/>
    </w:rPr>
  </w:style>
  <w:style w:type="paragraph" w:styleId="1252"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3" w:customStyle="1">
    <w:name w:val="正文1_0_0"/>
    <w:basedOn w:val="878"/>
    <w:uiPriority w:val="0"/>
    <w:qFormat/>
    <w:pPr>
      <w:ind w:left="357" w:firstLine="420"/>
      <w:spacing w:line="360" w:lineRule="auto"/>
    </w:pPr>
    <w:rPr>
      <w:rFonts w:eastAsia="Times New Roman" w:cs="Arial"/>
    </w:rPr>
  </w:style>
  <w:style w:type="paragraph" w:styleId="1254" w:customStyle="1">
    <w:name w:val="普通正文"/>
    <w:basedOn w:val="828"/>
    <w:uiPriority w:val="0"/>
    <w:qFormat/>
    <w:pPr>
      <w:ind w:firstLine="480"/>
      <w:jc w:val="left"/>
      <w:spacing w:before="120" w:after="120" w:line="360" w:lineRule="auto"/>
    </w:pPr>
    <w:rPr>
      <w:rFonts w:ascii="Arial" w:hAnsi="Arial"/>
      <w:sz w:val="24"/>
      <w:szCs w:val="24"/>
    </w:rPr>
  </w:style>
  <w:style w:type="paragraph" w:styleId="1255" w:customStyle="1">
    <w:name w:val="正文空2字"/>
    <w:basedOn w:val="1256"/>
    <w:uiPriority w:val="99"/>
    <w:qFormat/>
    <w:pPr>
      <w:ind w:firstLine="640"/>
      <w:spacing w:line="560" w:lineRule="exact"/>
      <w:widowControl w:val="off"/>
    </w:pPr>
    <w:rPr>
      <w:rFonts w:ascii="仿宋_GB2312" w:hAnsi="仿宋_GB2312" w:cs="仿宋_GB2312"/>
      <w:lang w:val="zh-TW"/>
    </w:rPr>
  </w:style>
  <w:style w:type="paragraph" w:styleId="1256" w:customStyle="1">
    <w:name w:val="左对齐正文"/>
    <w:uiPriority w:val="99"/>
    <w:qFormat/>
    <w:rPr>
      <w:rFonts w:hint="default" w:ascii="Calibri" w:hAnsi="Calibri" w:eastAsia="仿宋_GB2312" w:cs="Calibri"/>
      <w:sz w:val="32"/>
      <w:szCs w:val="32"/>
      <w:lang w:val="en-US" w:eastAsia="zh-CN" w:bidi="ar-SA"/>
    </w:rPr>
  </w:style>
  <w:style w:type="paragraph" w:styleId="1257" w:customStyle="1">
    <w:name w:val="普通(网站)1"/>
    <w:basedOn w:val="828"/>
    <w:uiPriority w:val="0"/>
    <w:qFormat/>
    <w:rPr>
      <w:sz w:val="24"/>
    </w:rPr>
  </w:style>
  <w:style w:type="character" w:styleId="1258" w:customStyle="1">
    <w:name w:val="16"/>
    <w:link w:val="828"/>
    <w:uiPriority w:val="0"/>
    <w:qFormat/>
    <w:rPr>
      <w:rFonts w:ascii="Times New Roman" w:hAnsi="Times New Roman"/>
      <w:sz w:val="21"/>
      <w:szCs w:val="21"/>
      <w:lang w:val="en-US" w:eastAsia="zh-CN" w:bidi="ar-SA"/>
    </w:rPr>
  </w:style>
  <w:style w:type="paragraph" w:styleId="1259" w:customStyle="1">
    <w:name w:val="正文文本_0"/>
    <w:basedOn w:val="1152"/>
    <w:next w:val="1260"/>
    <w:uiPriority w:val="0"/>
    <w:qFormat/>
    <w:pPr>
      <w:spacing w:line="60" w:lineRule="auto"/>
    </w:pPr>
    <w:rPr>
      <w:rFonts w:ascii="仿宋_GB2312" w:eastAsia="仿宋_GB2312"/>
      <w:sz w:val="32"/>
    </w:rPr>
  </w:style>
  <w:style w:type="paragraph" w:styleId="1260" w:customStyle="1">
    <w:name w:val="正文缩进_1"/>
    <w:basedOn w:val="1152"/>
    <w:next w:val="1152"/>
    <w:uiPriority w:val="0"/>
    <w:qFormat/>
    <w:pPr>
      <w:ind w:firstLine="420"/>
    </w:pPr>
    <w:rPr>
      <w:rFonts w:ascii="宋体"/>
      <w:color w:val="000000"/>
      <w:sz w:val="24"/>
      <w:szCs w:val="20"/>
    </w:rPr>
  </w:style>
  <w:style w:type="paragraph" w:styleId="1261" w:customStyle="1">
    <w:name w:val="Table Paragraph"/>
    <w:basedOn w:val="969"/>
    <w:uiPriority w:val="1"/>
    <w:qFormat/>
    <w:rPr>
      <w:rFonts w:ascii="宋体" w:hAnsi="宋体" w:cs="宋体"/>
      <w:sz w:val="22"/>
      <w:lang w:val="zh-CN" w:bidi="zh-CN"/>
    </w:rPr>
  </w:style>
  <w:style w:type="paragraph" w:styleId="1262" w:customStyle="1">
    <w:name w:val="Normal_19_2"/>
    <w:basedOn w:val="1263"/>
    <w:uiPriority w:val="0"/>
    <w:qFormat/>
    <w:rPr>
      <w:rFonts w:ascii="Times New Roman" w:hAnsi="Times New Roman"/>
      <w:szCs w:val="21"/>
    </w:rPr>
  </w:style>
  <w:style w:type="paragraph" w:styleId="1263" w:customStyle="1">
    <w:name w:val="正文_3_0"/>
    <w:next w:val="1151"/>
    <w:uiPriority w:val="0"/>
    <w:qFormat/>
    <w:pPr>
      <w:jc w:val="both"/>
      <w:widowControl w:val="off"/>
    </w:pPr>
    <w:rPr>
      <w:rFonts w:hint="default" w:ascii="Calibri" w:hAnsi="Calibri" w:eastAsia="宋体" w:cs="Times New Roman"/>
      <w:sz w:val="21"/>
      <w:szCs w:val="22"/>
      <w:lang w:val="en-US" w:eastAsia="zh-CN" w:bidi="ar-SA"/>
    </w:rPr>
  </w:style>
  <w:style w:type="paragraph" w:styleId="1264" w:customStyle="1">
    <w:name w:val="正文文本2"/>
    <w:basedOn w:val="1012"/>
    <w:uiPriority w:val="0"/>
    <w:qFormat/>
    <w:pPr>
      <w:spacing w:line="60" w:lineRule="auto"/>
    </w:pPr>
    <w:rPr>
      <w:rFonts w:ascii="仿宋_GB2312" w:eastAsia="仿宋_GB2312"/>
      <w:sz w:val="32"/>
      <w:szCs w:val="22"/>
    </w:rPr>
  </w:style>
  <w:style w:type="paragraph" w:styleId="1265" w:customStyle="1">
    <w:name w:val="Normal_19_2_0"/>
    <w:basedOn w:val="1266"/>
    <w:uiPriority w:val="0"/>
    <w:qFormat/>
    <w:rPr>
      <w:rFonts w:ascii="Times New Roman" w:hAnsi="Times New Roman"/>
      <w:szCs w:val="21"/>
    </w:rPr>
  </w:style>
  <w:style w:type="paragraph" w:styleId="1266"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67" w:customStyle="1">
    <w:name w:val="纯文本1"/>
    <w:basedOn w:val="1013"/>
    <w:uiPriority w:val="0"/>
    <w:qFormat/>
    <w:rPr>
      <w:rFonts w:ascii="宋体" w:hAnsi="Courier New" w:eastAsia="宋体" w:cs="Times New Roman"/>
    </w:rPr>
  </w:style>
  <w:style w:type="paragraph" w:styleId="1268" w:customStyle="1">
    <w:name w:val="Normal_21_0"/>
    <w:next w:val="12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Heading 1_0"/>
    <w:basedOn w:val="1268"/>
    <w:next w:val="1268"/>
    <w:uiPriority w:val="0"/>
    <w:qFormat/>
    <w:pPr>
      <w:jc w:val="center"/>
      <w:keepLines/>
      <w:keepNext/>
      <w:spacing w:before="240" w:after="120" w:line="300" w:lineRule="auto"/>
      <w:outlineLvl w:val="0"/>
    </w:pPr>
    <w:rPr>
      <w:rFonts w:ascii="宋体"/>
      <w:b/>
      <w:sz w:val="32"/>
      <w:szCs w:val="20"/>
    </w:rPr>
  </w:style>
  <w:style w:type="paragraph" w:styleId="1270"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71" w:customStyle="1">
    <w:name w:val="正文文本 字符"/>
    <w:link w:val="828"/>
    <w:uiPriority w:val="0"/>
    <w:qFormat/>
    <w:rPr>
      <w:rFonts w:ascii="楷体_GB2312" w:hAnsi="Arial" w:eastAsia="楷体_GB2312" w:cs="Times New Roman"/>
      <w:sz w:val="28"/>
      <w:szCs w:val="28"/>
    </w:rPr>
  </w:style>
  <w:style w:type="character" w:styleId="1272" w:customStyle="1">
    <w:name w:val="正文文本缩进 字符"/>
    <w:link w:val="828"/>
    <w:uiPriority w:val="0"/>
    <w:qFormat/>
    <w:rPr>
      <w:rFonts w:ascii="楷体_GB2312" w:hAnsi="Times New Roman" w:eastAsia="楷体_GB2312" w:cs="Times New Roman"/>
      <w:sz w:val="32"/>
      <w:szCs w:val="32"/>
    </w:rPr>
  </w:style>
  <w:style w:type="character" w:styleId="1273" w:customStyle="1">
    <w:name w:val="正文文本 字符1"/>
    <w:link w:val="828"/>
    <w:uiPriority w:val="0"/>
    <w:qFormat/>
    <w:rPr>
      <w:rFonts w:ascii="Calibri" w:hAnsi="Calibri"/>
      <w:sz w:val="28"/>
      <w:szCs w:val="24"/>
    </w:rPr>
  </w:style>
  <w:style w:type="character" w:styleId="1274" w:customStyle="1">
    <w:name w:val="正文文本首行缩进 字符"/>
    <w:link w:val="828"/>
    <w:uiPriority w:val="0"/>
    <w:qFormat/>
    <w:rPr>
      <w:rFonts w:ascii="仿宋_GB2312" w:hAnsi="Calibri" w:eastAsia="仿宋_GB2312"/>
      <w:sz w:val="30"/>
      <w:szCs w:val="30"/>
    </w:rPr>
  </w:style>
  <w:style w:type="paragraph" w:styleId="1275" w:customStyle="1">
    <w:name w:val="索引 41"/>
    <w:basedOn w:val="828"/>
    <w:next w:val="828"/>
    <w:uiPriority w:val="0"/>
    <w:semiHidden/>
    <w:qFormat/>
    <w:pPr>
      <w:ind w:left="1260"/>
    </w:pPr>
    <w:rPr>
      <w:rFonts w:eastAsia="Calibri" w:cs="宋体"/>
      <w:sz w:val="20"/>
      <w:szCs w:val="21"/>
      <w:lang w:val="zh-CN"/>
    </w:rPr>
  </w:style>
  <w:style w:type="character" w:styleId="1276" w:customStyle="1">
    <w:name w:val="font5 Char"/>
    <w:link w:val="828"/>
    <w:uiPriority w:val="0"/>
    <w:qFormat/>
    <w:rPr>
      <w:rFonts w:ascii="宋体" w:hAnsi="宋体" w:eastAsia="宋体"/>
      <w:sz w:val="28"/>
      <w:szCs w:val="28"/>
      <w:lang w:val="en-US" w:eastAsia="zh-CN" w:bidi="ar-SA"/>
    </w:rPr>
  </w:style>
  <w:style w:type="character" w:styleId="1277" w:customStyle="1">
    <w:name w:val="二级目录 Char"/>
    <w:link w:val="1278"/>
    <w:uiPriority w:val="0"/>
    <w:qFormat/>
    <w:rPr>
      <w:b/>
      <w:sz w:val="30"/>
      <w:szCs w:val="28"/>
    </w:rPr>
  </w:style>
  <w:style w:type="paragraph" w:styleId="1278" w:customStyle="1">
    <w:name w:val="二级目录"/>
    <w:next w:val="828"/>
    <w:link w:val="1277"/>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79" w:customStyle="1">
    <w:name w:val="列出段落 Char"/>
    <w:link w:val="1280"/>
    <w:uiPriority w:val="0"/>
    <w:qFormat/>
    <w:rPr>
      <w:rFonts w:ascii="Calibri" w:hAnsi="Calibri"/>
      <w:sz w:val="24"/>
      <w:szCs w:val="24"/>
      <w:lang w:eastAsia="en-US" w:bidi="en-US"/>
    </w:rPr>
  </w:style>
  <w:style w:type="paragraph" w:styleId="1280" w:customStyle="1">
    <w:name w:val="列出段落1"/>
    <w:basedOn w:val="828"/>
    <w:link w:val="1279"/>
    <w:uiPriority w:val="0"/>
    <w:qFormat/>
    <w:pPr>
      <w:contextualSpacing/>
      <w:ind w:left="720"/>
      <w:jc w:val="left"/>
      <w:widowControl/>
    </w:pPr>
    <w:rPr>
      <w:sz w:val="24"/>
      <w:szCs w:val="24"/>
      <w:lang w:eastAsia="en-US" w:bidi="en-US"/>
    </w:rPr>
  </w:style>
  <w:style w:type="paragraph" w:styleId="1281" w:customStyle="1">
    <w:name w:val="Body Text(ch)"/>
    <w:basedOn w:val="828"/>
    <w:uiPriority w:val="0"/>
    <w:qFormat/>
    <w:pPr>
      <w:spacing w:after="120"/>
    </w:pPr>
    <w:rPr>
      <w:rFonts w:ascii="宋体" w:hAnsi="Arial"/>
      <w:bCs/>
      <w:iCs/>
      <w:szCs w:val="24"/>
    </w:rPr>
  </w:style>
  <w:style w:type="paragraph" w:styleId="1282" w:customStyle="1">
    <w:name w:val="xl27"/>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83" w:customStyle="1">
    <w:name w:val="xl26"/>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84" w:customStyle="1">
    <w:name w:val="Char"/>
    <w:basedOn w:val="828"/>
    <w:uiPriority w:val="0"/>
    <w:qFormat/>
    <w:pPr>
      <w:ind w:firstLine="200"/>
      <w:tabs>
        <w:tab w:val="left" w:pos="360" w:leader="none"/>
      </w:tabs>
    </w:pPr>
    <w:rPr>
      <w:rFonts w:ascii="Times New Roman" w:hAnsi="Times New Roman"/>
      <w:sz w:val="28"/>
      <w:szCs w:val="30"/>
    </w:rPr>
  </w:style>
  <w:style w:type="paragraph" w:styleId="1285" w:customStyle="1">
    <w:name w:val="Char1"/>
    <w:basedOn w:val="907"/>
    <w:uiPriority w:val="0"/>
    <w:qFormat/>
    <w:rPr>
      <w:rFonts w:ascii="Tahoma" w:hAnsi="Tahoma"/>
      <w:sz w:val="24"/>
      <w:szCs w:val="24"/>
    </w:rPr>
  </w:style>
  <w:style w:type="paragraph" w:styleId="1286" w:customStyle="1">
    <w:name w:val="table_lines"/>
    <w:basedOn w:val="828"/>
    <w:uiPriority w:val="0"/>
    <w:qFormat/>
    <w:pPr>
      <w:jc w:val="left"/>
      <w:widowControl/>
    </w:pPr>
    <w:rPr>
      <w:rFonts w:ascii="Times New Roman" w:hAnsi="Times New Roman"/>
      <w:sz w:val="20"/>
      <w:szCs w:val="20"/>
      <w:lang w:val="de-DE" w:eastAsia="de-DE"/>
    </w:rPr>
  </w:style>
  <w:style w:type="paragraph" w:styleId="1287"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88" w:customStyle="1">
    <w:name w:val="font7"/>
    <w:basedOn w:val="828"/>
    <w:uiPriority w:val="0"/>
    <w:qFormat/>
    <w:pPr>
      <w:jc w:val="left"/>
      <w:spacing w:before="100" w:beforeAutospacing="1" w:after="100" w:afterAutospacing="1"/>
      <w:widowControl/>
    </w:pPr>
    <w:rPr>
      <w:rFonts w:hint="eastAsia" w:ascii="宋体" w:hAnsi="宋体"/>
      <w:sz w:val="18"/>
      <w:szCs w:val="18"/>
    </w:rPr>
  </w:style>
  <w:style w:type="paragraph" w:styleId="1289" w:customStyle="1">
    <w:name w:val="Char Char Char Char"/>
    <w:basedOn w:val="907"/>
    <w:uiPriority w:val="0"/>
    <w:qFormat/>
    <w:pPr>
      <w:spacing w:line="360" w:lineRule="auto"/>
    </w:pPr>
    <w:rPr>
      <w:rFonts w:ascii="Tahoma" w:hAnsi="Tahoma"/>
      <w:sz w:val="24"/>
      <w:szCs w:val="24"/>
    </w:rPr>
  </w:style>
  <w:style w:type="paragraph" w:styleId="1290" w:customStyle="1">
    <w:name w:val="4"/>
    <w:basedOn w:val="828"/>
    <w:next w:val="942"/>
    <w:uiPriority w:val="0"/>
    <w:qFormat/>
    <w:pPr>
      <w:ind w:firstLine="420"/>
      <w:spacing w:line="360" w:lineRule="auto"/>
    </w:pPr>
    <w:rPr>
      <w:rFonts w:ascii="Times New Roman" w:hAnsi="Times New Roman"/>
      <w:color w:val="ff0000"/>
      <w:sz w:val="24"/>
      <w:szCs w:val="24"/>
    </w:rPr>
  </w:style>
  <w:style w:type="paragraph" w:styleId="1291" w:customStyle="1">
    <w:name w:val="普通 (Web)"/>
    <w:basedOn w:val="828"/>
    <w:uiPriority w:val="0"/>
    <w:qFormat/>
    <w:pPr>
      <w:jc w:val="left"/>
      <w:spacing w:before="100" w:beforeAutospacing="1" w:after="100" w:afterAutospacing="1"/>
      <w:widowControl/>
    </w:pPr>
    <w:rPr>
      <w:rFonts w:ascii="宋体" w:hAnsi="宋体"/>
      <w:sz w:val="24"/>
      <w:szCs w:val="24"/>
    </w:rPr>
  </w:style>
  <w:style w:type="paragraph" w:styleId="1292" w:customStyle="1">
    <w:name w:val="Char Char Char Char Char Char Char Char Char Char"/>
    <w:basedOn w:val="828"/>
    <w:uiPriority w:val="0"/>
    <w:qFormat/>
    <w:pPr>
      <w:spacing w:line="360" w:lineRule="auto"/>
    </w:pPr>
    <w:rPr>
      <w:rFonts w:ascii="Times New Roman" w:hAnsi="Times New Roman"/>
      <w:sz w:val="24"/>
      <w:szCs w:val="20"/>
    </w:rPr>
  </w:style>
  <w:style w:type="paragraph" w:styleId="1293" w:customStyle="1">
    <w:name w:val="样式1"/>
    <w:basedOn w:val="828"/>
    <w:uiPriority w:val="0"/>
    <w:qFormat/>
    <w:pPr>
      <w:numPr>
        <w:ilvl w:val="0"/>
        <w:numId w:val="2"/>
      </w:numPr>
      <w:tabs>
        <w:tab w:val="left" w:pos="709" w:leader="none"/>
      </w:tabs>
    </w:pPr>
    <w:rPr>
      <w:rFonts w:ascii="宋体" w:hAnsi="宋体"/>
      <w:szCs w:val="21"/>
    </w:rPr>
  </w:style>
  <w:style w:type="paragraph" w:styleId="1294" w:customStyle="1">
    <w:name w:val="font6"/>
    <w:basedOn w:val="828"/>
    <w:uiPriority w:val="0"/>
    <w:qFormat/>
    <w:pPr>
      <w:jc w:val="left"/>
      <w:spacing w:before="100" w:beforeAutospacing="1" w:after="100" w:afterAutospacing="1"/>
      <w:widowControl/>
    </w:pPr>
    <w:rPr>
      <w:rFonts w:hint="eastAsia" w:ascii="宋体" w:hAnsi="宋体"/>
      <w:sz w:val="28"/>
      <w:szCs w:val="28"/>
      <w:u w:val="single"/>
    </w:rPr>
  </w:style>
  <w:style w:type="paragraph" w:styleId="1295" w:customStyle="1">
    <w:name w:val="xl25"/>
    <w:basedOn w:val="8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96" w:customStyle="1">
    <w:name w:val="图标"/>
    <w:basedOn w:val="828"/>
    <w:next w:val="82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97" w:customStyle="1">
    <w:name w:val="标题3"/>
    <w:basedOn w:val="828"/>
    <w:next w:val="828"/>
    <w:uiPriority w:val="0"/>
    <w:qFormat/>
    <w:pPr>
      <w:ind w:firstLine="624"/>
      <w:spacing w:line="590" w:lineRule="atLeast"/>
    </w:pPr>
    <w:rPr>
      <w:rFonts w:ascii="方正黑体_GBK" w:hAnsi="Times New Roman" w:eastAsia="方正黑体_GBK"/>
      <w:sz w:val="32"/>
      <w:szCs w:val="32"/>
    </w:rPr>
  </w:style>
  <w:style w:type="paragraph" w:styleId="1298" w:customStyle="1">
    <w:name w:val="xl24"/>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99" w:customStyle="1">
    <w:name w:val="xl29"/>
    <w:basedOn w:val="8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00" w:customStyle="1">
    <w:name w:val="Char Char Char Char Char Char Char Char"/>
    <w:basedOn w:val="828"/>
    <w:uiPriority w:val="0"/>
    <w:qFormat/>
    <w:pPr>
      <w:jc w:val="left"/>
      <w:spacing w:after="160" w:line="240" w:lineRule="exact"/>
      <w:widowControl/>
    </w:pPr>
    <w:rPr>
      <w:rFonts w:ascii="Verdana" w:hAnsi="Verdana"/>
      <w:sz w:val="20"/>
      <w:szCs w:val="20"/>
      <w:lang w:eastAsia="en-US"/>
    </w:rPr>
  </w:style>
  <w:style w:type="paragraph" w:styleId="1301" w:customStyle="1">
    <w:name w:val="xl2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02" w:customStyle="1">
    <w:name w:val="Char Char Char Char Char Char Char Char1"/>
    <w:basedOn w:val="828"/>
    <w:uiPriority w:val="0"/>
    <w:qFormat/>
    <w:pPr>
      <w:jc w:val="left"/>
      <w:spacing w:after="160" w:line="240" w:lineRule="exact"/>
      <w:widowControl/>
    </w:pPr>
    <w:rPr>
      <w:rFonts w:ascii="Verdana" w:hAnsi="Verdana"/>
      <w:sz w:val="20"/>
      <w:szCs w:val="20"/>
      <w:lang w:eastAsia="en-US"/>
    </w:rPr>
  </w:style>
  <w:style w:type="paragraph" w:styleId="1303" w:customStyle="1">
    <w:name w:val="xl30"/>
    <w:basedOn w:val="828"/>
    <w:uiPriority w:val="0"/>
    <w:qFormat/>
    <w:pPr>
      <w:jc w:val="center"/>
      <w:spacing w:before="100" w:beforeAutospacing="1" w:after="100" w:afterAutospacing="1"/>
      <w:widowControl/>
    </w:pPr>
    <w:rPr>
      <w:rFonts w:ascii="宋体" w:hAnsi="宋体"/>
      <w:b/>
      <w:bCs/>
      <w:sz w:val="36"/>
      <w:szCs w:val="36"/>
    </w:rPr>
  </w:style>
  <w:style w:type="paragraph" w:styleId="1304" w:customStyle="1">
    <w:name w:val="Char Char Char Char1"/>
    <w:basedOn w:val="907"/>
    <w:uiPriority w:val="0"/>
    <w:qFormat/>
    <w:pPr>
      <w:spacing w:line="360" w:lineRule="auto"/>
    </w:pPr>
    <w:rPr>
      <w:rFonts w:ascii="Tahoma" w:hAnsi="Tahoma"/>
      <w:sz w:val="24"/>
      <w:szCs w:val="24"/>
    </w:rPr>
  </w:style>
  <w:style w:type="paragraph" w:styleId="1305" w:customStyle="1">
    <w:name w:val="table_1stline"/>
    <w:basedOn w:val="828"/>
    <w:uiPriority w:val="0"/>
    <w:qFormat/>
    <w:pPr>
      <w:jc w:val="left"/>
      <w:spacing w:before="120"/>
      <w:widowControl/>
    </w:pPr>
    <w:rPr>
      <w:rFonts w:ascii="Times New Roman" w:hAnsi="Times New Roman"/>
      <w:bCs/>
      <w:sz w:val="20"/>
      <w:szCs w:val="20"/>
      <w:lang w:val="de-DE" w:eastAsia="de-DE"/>
    </w:rPr>
  </w:style>
  <w:style w:type="paragraph" w:styleId="1306" w:customStyle="1">
    <w:name w:val="font5"/>
    <w:basedOn w:val="828"/>
    <w:uiPriority w:val="0"/>
    <w:qFormat/>
    <w:pPr>
      <w:jc w:val="left"/>
      <w:spacing w:before="100" w:beforeAutospacing="1" w:after="100" w:afterAutospacing="1"/>
      <w:widowControl/>
    </w:pPr>
    <w:rPr>
      <w:rFonts w:hint="eastAsia" w:ascii="宋体" w:hAnsi="宋体"/>
      <w:sz w:val="28"/>
      <w:szCs w:val="28"/>
    </w:rPr>
  </w:style>
  <w:style w:type="paragraph" w:styleId="1307" w:customStyle="1">
    <w:name w:val="标题1"/>
    <w:basedOn w:val="828"/>
    <w:next w:val="82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08"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309" w:customStyle="1">
    <w:name w:val="Table Normal"/>
    <w:uiPriority w:val="0"/>
    <w:qFormat/>
    <w:rPr>
      <w:lang w:val="en-US" w:eastAsia="zh-CN" w:bidi="ar-SA"/>
    </w:rPr>
    <w:tblPr/>
  </w:style>
  <w:style w:type="paragraph" w:styleId="1310" w:customStyle="1">
    <w:name w:val="正文文本12"/>
    <w:basedOn w:val="828"/>
    <w:uiPriority w:val="1"/>
    <w:qFormat/>
    <w:pPr>
      <w:ind w:left="120"/>
    </w:pPr>
    <w:rPr>
      <w:rFonts w:ascii="宋体" w:hAnsi="宋体" w:cs="宋体"/>
      <w:szCs w:val="21"/>
      <w:lang w:val="zh-CN" w:bidi="zh-CN"/>
    </w:rPr>
  </w:style>
  <w:style w:type="paragraph" w:styleId="1311" w:customStyle="1">
    <w:name w:val="首行缩进"/>
    <w:basedOn w:val="828"/>
    <w:uiPriority w:val="0"/>
    <w:qFormat/>
    <w:pPr>
      <w:ind w:firstLine="480"/>
    </w:pPr>
    <w:rPr>
      <w:rFonts w:ascii="Times New Roman" w:hAnsi="Times New Roman"/>
      <w:szCs w:val="21"/>
      <w:lang w:val="zh-CN"/>
    </w:rPr>
  </w:style>
  <w:style w:type="paragraph" w:styleId="1312" w:customStyle="1">
    <w:name w:val="部分1"/>
    <w:basedOn w:val="82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313" w:customStyle="1">
    <w:name w:val="15"/>
    <w:link w:val="828"/>
    <w:uiPriority w:val="0"/>
    <w:qFormat/>
    <w:rPr>
      <w:rFonts w:ascii="Times New Roman" w:hAnsi="Times New Roman" w:cs="Times New Roman"/>
    </w:rPr>
  </w:style>
  <w:style w:type="paragraph" w:styleId="1314" w:customStyle="1">
    <w:name w:val="正文文本缩进 2_0"/>
    <w:basedOn w:val="1152"/>
    <w:uiPriority w:val="0"/>
    <w:qFormat/>
    <w:pPr>
      <w:ind w:firstLine="720"/>
      <w:jc w:val="left"/>
      <w:spacing w:line="540" w:lineRule="exact"/>
    </w:pPr>
    <w:rPr>
      <w:rFonts w:ascii="仿宋_GB2312" w:hAnsi="仿宋_GB2312" w:cs="宋体"/>
      <w:sz w:val="32"/>
      <w:szCs w:val="32"/>
    </w:rPr>
  </w:style>
  <w:style w:type="character" w:styleId="1315" w:customStyle="1">
    <w:name w:val="10"/>
    <w:link w:val="828"/>
    <w:uiPriority w:val="0"/>
    <w:qFormat/>
    <w:rPr>
      <w:rFonts w:ascii="Times New Roman" w:hAnsi="Times New Roman" w:cs="Times New Roman"/>
    </w:rPr>
  </w:style>
  <w:style w:type="paragraph" w:styleId="1316" w:customStyle="1">
    <w:name w:val="正文_16_1"/>
    <w:basedOn w:val="828"/>
    <w:uiPriority w:val="0"/>
    <w:qFormat/>
    <w:rPr>
      <w:rFonts w:ascii="Times New Roman" w:hAnsi="Times New Roman"/>
      <w:szCs w:val="21"/>
    </w:rPr>
  </w:style>
  <w:style w:type="paragraph" w:styleId="1317" w:customStyle="1">
    <w:name w:val="页脚1"/>
    <w:basedOn w:val="828"/>
    <w:uiPriority w:val="0"/>
    <w:qFormat/>
    <w:pPr>
      <w:jc w:val="left"/>
      <w:tabs>
        <w:tab w:val="center" w:pos="4153" w:leader="none"/>
        <w:tab w:val="right" w:pos="8306" w:leader="none"/>
      </w:tabs>
    </w:pPr>
    <w:rPr>
      <w:sz w:val="18"/>
      <w:szCs w:val="18"/>
    </w:rPr>
  </w:style>
  <w:style w:type="character" w:styleId="1318" w:customStyle="1">
    <w:name w:val="页码1"/>
    <w:link w:val="828"/>
    <w:uiPriority w:val="0"/>
    <w:qFormat/>
  </w:style>
  <w:style w:type="paragraph" w:styleId="1319" w:customStyle="1">
    <w:name w:val="*正文"/>
    <w:basedOn w:val="875"/>
    <w:uiPriority w:val="0"/>
    <w:qFormat/>
    <w:pPr>
      <w:ind w:firstLine="200"/>
    </w:pPr>
    <w:rPr>
      <w:rFonts w:ascii="宋体" w:hAnsi="宋体"/>
      <w:color w:val="000000"/>
      <w:sz w:val="24"/>
      <w:szCs w:val="24"/>
    </w:rPr>
  </w:style>
  <w:style w:type="paragraph" w:styleId="1320" w:customStyle="1">
    <w:name w:val="*正文_0"/>
    <w:basedOn w:val="1321"/>
    <w:uiPriority w:val="0"/>
    <w:qFormat/>
    <w:pPr>
      <w:ind w:firstLine="200"/>
      <w:spacing w:line="360" w:lineRule="auto"/>
    </w:pPr>
    <w:rPr>
      <w:rFonts w:ascii="宋体" w:hAnsi="宋体" w:eastAsia="Arial" w:cs="Arial"/>
      <w:color w:val="000000"/>
      <w:sz w:val="24"/>
    </w:rPr>
  </w:style>
  <w:style w:type="paragraph" w:styleId="1321" w:customStyle="1">
    <w:name w:val="正文缩进_2"/>
    <w:basedOn w:val="1176"/>
    <w:uiPriority w:val="0"/>
    <w:unhideWhenUsed/>
    <w:qFormat/>
    <w:pPr>
      <w:ind w:firstLine="420"/>
      <w:jc w:val="left"/>
      <w:widowControl/>
    </w:pPr>
    <w:rPr>
      <w:rFonts w:ascii="Times New Roman" w:hAnsi="Times New Roman"/>
      <w:sz w:val="20"/>
      <w:szCs w:val="24"/>
    </w:rPr>
  </w:style>
  <w:style w:type="paragraph" w:styleId="1322" w:customStyle="1">
    <w:name w:val="*正文_0_0"/>
    <w:basedOn w:val="1176"/>
    <w:uiPriority w:val="0"/>
    <w:qFormat/>
    <w:pPr>
      <w:ind w:firstLine="200"/>
      <w:jc w:val="left"/>
      <w:spacing w:line="360" w:lineRule="auto"/>
      <w:widowControl/>
    </w:pPr>
    <w:rPr>
      <w:rFonts w:ascii="宋体" w:hAnsi="宋体" w:eastAsia="Arial" w:cs="Arial"/>
      <w:color w:val="000000"/>
      <w:sz w:val="24"/>
      <w:szCs w:val="24"/>
    </w:rPr>
  </w:style>
  <w:style w:type="paragraph" w:styleId="1323" w:customStyle="1">
    <w:name w:val="无间隔1_0_0"/>
    <w:basedOn w:val="1176"/>
    <w:uiPriority w:val="0"/>
    <w:qFormat/>
    <w:rPr>
      <w:rFonts w:ascii="Times New Roman" w:hAnsi="Times New Roman"/>
      <w:szCs w:val="21"/>
    </w:rPr>
  </w:style>
  <w:style w:type="paragraph" w:styleId="1324"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325" w:customStyle="1">
    <w:name w:val="标题 4_0"/>
    <w:basedOn w:val="1326"/>
    <w:next w:val="1326"/>
    <w:uiPriority w:val="9"/>
    <w:unhideWhenUsed/>
    <w:qFormat/>
    <w:pPr>
      <w:keepLines/>
      <w:keepNext/>
      <w:spacing w:before="280" w:after="290" w:line="372" w:lineRule="auto"/>
      <w:outlineLvl w:val="3"/>
    </w:pPr>
    <w:rPr>
      <w:rFonts w:ascii="Arial" w:hAnsi="Arial" w:eastAsia="黑体"/>
      <w:b/>
      <w:sz w:val="28"/>
    </w:rPr>
  </w:style>
  <w:style w:type="paragraph" w:styleId="1326" w:customStyle="1">
    <w:name w:val="正文4"/>
    <w:uiPriority w:val="0"/>
    <w:qFormat/>
    <w:pPr>
      <w:jc w:val="both"/>
      <w:widowControl w:val="off"/>
    </w:pPr>
    <w:rPr>
      <w:rFonts w:hint="default" w:ascii="Calibri" w:hAnsi="Calibri" w:eastAsia="宋体" w:cs="Times New Roman"/>
      <w:lang w:val="en-US" w:eastAsia="zh-CN" w:bidi="ar-SA"/>
    </w:rPr>
  </w:style>
  <w:style w:type="paragraph" w:styleId="1327"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328" w:customStyle="1">
    <w:name w:val="p17_0_0"/>
    <w:basedOn w:val="1218"/>
    <w:uiPriority w:val="0"/>
    <w:qFormat/>
    <w:pPr>
      <w:jc w:val="left"/>
      <w:spacing w:before="100" w:beforeAutospacing="1" w:after="100" w:afterAutospacing="1"/>
      <w:widowControl/>
    </w:pPr>
    <w:rPr>
      <w:rFonts w:ascii="宋体" w:hAnsi="宋体" w:eastAsia="Times New Roman" w:cs="宋体"/>
      <w:sz w:val="24"/>
      <w:szCs w:val="24"/>
    </w:rPr>
  </w:style>
  <w:style w:type="paragraph" w:styleId="1329" w:customStyle="1">
    <w:name w:val="p17_0"/>
    <w:basedOn w:val="878"/>
    <w:uiPriority w:val="0"/>
    <w:qFormat/>
    <w:pPr>
      <w:jc w:val="left"/>
      <w:spacing w:before="100" w:beforeAutospacing="1" w:after="100" w:afterAutospacing="1"/>
      <w:widowControl/>
    </w:pPr>
    <w:rPr>
      <w:rFonts w:ascii="宋体" w:hAnsi="宋体" w:eastAsia="Times New Roman" w:cs="宋体"/>
      <w:sz w:val="24"/>
      <w:szCs w:val="24"/>
    </w:rPr>
  </w:style>
  <w:style w:type="paragraph" w:styleId="1330" w:customStyle="1">
    <w:name w:val="普通(网站)11"/>
    <w:basedOn w:val="828"/>
    <w:uiPriority w:val="99"/>
    <w:qFormat/>
    <w:rPr>
      <w:sz w:val="24"/>
    </w:rPr>
  </w:style>
  <w:style w:type="paragraph" w:styleId="133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32" w:customStyle="1">
    <w:name w:val="text"/>
    <w:basedOn w:val="892"/>
    <w:link w:val="828"/>
    <w:uiPriority w:val="0"/>
    <w:qFormat/>
  </w:style>
  <w:style w:type="paragraph" w:styleId="1333" w:customStyle="1">
    <w:name w:val="正文_2_0_0"/>
    <w:uiPriority w:val="0"/>
    <w:qFormat/>
    <w:pPr>
      <w:jc w:val="both"/>
      <w:widowControl w:val="off"/>
    </w:pPr>
    <w:rPr>
      <w:rFonts w:hint="default" w:ascii="Calibri" w:hAnsi="Calibri" w:eastAsia="宋体" w:cs="Times New Roman"/>
      <w:lang w:val="en-US" w:eastAsia="zh-CN" w:bidi="ar-SA"/>
    </w:rPr>
  </w:style>
  <w:style w:type="character" w:styleId="1334" w:customStyle="1">
    <w:name w:val="默认段落字体11"/>
    <w:uiPriority w:val="1"/>
    <w:unhideWhenUsed/>
    <w:qFormat/>
    <w:rPr>
      <w:rFonts w:ascii="Times New Roman" w:hAnsi="Times New Roman" w:eastAsia="宋体" w:cs="Times New Roman"/>
      <w:sz w:val="21"/>
      <w:szCs w:val="21"/>
      <w:lang w:val="en-US" w:eastAsia="zh-CN" w:bidi="ar-SA"/>
    </w:rPr>
  </w:style>
  <w:style w:type="character" w:styleId="1335" w:customStyle="1">
    <w:name w:val="尾注文本 Char"/>
    <w:link w:val="848"/>
    <w:uiPriority w:val="99"/>
    <w:qFormat/>
    <w:rPr>
      <w:sz w:val="20"/>
    </w:rPr>
  </w:style>
  <w:style w:type="numbering" w:styleId="13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胡方敏</cp:lastModifiedBy>
  <cp:revision>8</cp:revision>
  <dcterms:created xsi:type="dcterms:W3CDTF">2023-07-23T13:07:00Z</dcterms:created>
  <dcterms:modified xsi:type="dcterms:W3CDTF">2026-04-29T08:12:59Z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eyJoZGlkIjoiNzk3ZTYwYjQxYzI5NmQxMmU1YzVjZjJiYWZhOTJhNjYiLCJ1c2VySWQiOiI2NDc5NjAwNTIifQ==</vt:lpwstr>
  </property>
  <property fmtid="{D5CDD505-2E9C-101B-9397-08002B2CF9AE}" pid="3" name="KSOProductBuildVer">
    <vt:lpwstr>2052-12.1.0.25865</vt:lpwstr>
  </property>
  <property fmtid="{D5CDD505-2E9C-101B-9397-08002B2CF9AE}" pid="4" name="ICV">
    <vt:lpwstr>1B6601E1CD0046A18D96C46EA2FD3D0A_13</vt:lpwstr>
  </property>
</Properties>
</file>